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FB" w:rsidRPr="00BC32FB" w:rsidRDefault="00BC32FB" w:rsidP="00BC32F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proofErr w:type="spellStart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Технічне</w:t>
      </w:r>
      <w:proofErr w:type="spellEnd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завдання</w:t>
      </w:r>
      <w:proofErr w:type="spellEnd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br/>
        <w:t xml:space="preserve">на </w:t>
      </w:r>
      <w:proofErr w:type="spellStart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виготовлення</w:t>
      </w:r>
      <w:proofErr w:type="spellEnd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 xml:space="preserve"> проектно-</w:t>
      </w:r>
      <w:proofErr w:type="spellStart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кошторисної</w:t>
      </w:r>
      <w:proofErr w:type="spellEnd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документації</w:t>
      </w:r>
      <w:proofErr w:type="spellEnd"/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156"/>
        <w:gridCol w:w="6937"/>
      </w:tblGrid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Перелік</w:t>
            </w:r>
            <w:proofErr w:type="spellEnd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основних</w:t>
            </w:r>
            <w:proofErr w:type="spellEnd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даних</w:t>
            </w:r>
            <w:proofErr w:type="spellEnd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Основні</w:t>
            </w:r>
            <w:proofErr w:type="spellEnd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дані</w:t>
            </w:r>
            <w:proofErr w:type="spellEnd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32FB">
              <w:rPr>
                <w:rFonts w:ascii="Arial" w:eastAsia="Times New Roman" w:hAnsi="Arial" w:cs="Arial"/>
                <w:b/>
                <w:bCs/>
                <w:i/>
                <w:iCs/>
                <w:color w:val="303135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732919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Коломийська </w:t>
            </w:r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міська</w:t>
            </w:r>
            <w:proofErr w:type="spellEnd"/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рада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замовника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2919" w:rsidRDefault="00BC32FB" w:rsidP="00732919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обл., м. </w:t>
            </w:r>
            <w:r w:rsidR="00732919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Коломия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,</w:t>
            </w:r>
          </w:p>
          <w:p w:rsidR="00BC32FB" w:rsidRPr="00BC32FB" w:rsidRDefault="00BC32FB" w:rsidP="00732919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r w:rsidR="00732919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пр. М. Грушевського, 1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Назва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1C469E" w:rsidP="00E70649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Детальний </w:t>
            </w:r>
            <w:proofErr w:type="spellStart"/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енергоаудит</w:t>
            </w:r>
            <w:proofErr w:type="spellEnd"/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 +ДНЗ ПКД «Ромашка»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Підстава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Механізм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послуг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енергоефективності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будівель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»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36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5.</w:t>
            </w:r>
          </w:p>
          <w:p w:rsidR="00BC32FB" w:rsidRPr="00BC32FB" w:rsidRDefault="00BC32FB" w:rsidP="00BC32FB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Джерело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30 % –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бюджетні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кошти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br/>
              <w:t xml:space="preserve">70 % –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грантові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E70649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проектно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–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кошторисну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для </w:t>
            </w:r>
            <w:r w:rsidR="00E70649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заходів із зменшення потреб в енергії та комплексної </w:t>
            </w:r>
            <w:proofErr w:type="spellStart"/>
            <w:r w:rsidR="00E70649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термомодернізації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ЗДО «</w:t>
            </w:r>
            <w:r w:rsidR="00E70649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Ромашка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»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E70649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7</w:t>
            </w:r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розрахунок</w:t>
            </w:r>
            <w:proofErr w:type="spellEnd"/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E70649" w:rsidRDefault="00E70649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Стадійність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проектування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В одну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стадію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робочий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Вимоги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енергозбереження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енергоефективності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Проектні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рішення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вимог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діючих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Вимоги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режиму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безпеки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охорони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Проектні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рішення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вимог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діючих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Термін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304EAF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умов договору, але 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на більше 20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днів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дати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договору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Вимоги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звітної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що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видається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замовнику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видається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в 4-х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екземплярах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та 1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екз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вигляді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(формат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pdf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).</w:t>
            </w:r>
          </w:p>
          <w:p w:rsidR="00BC32FB" w:rsidRPr="00BC32FB" w:rsidRDefault="00BC32FB" w:rsidP="00BC32FB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</w:p>
          <w:p w:rsidR="00BC32FB" w:rsidRPr="00196E2E" w:rsidRDefault="00BC32FB" w:rsidP="00BC32FB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</w:t>
            </w:r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ментація</w:t>
            </w:r>
            <w:proofErr w:type="spellEnd"/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відповідати</w:t>
            </w:r>
            <w:proofErr w:type="spellEnd"/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нормативним</w:t>
            </w:r>
            <w:proofErr w:type="spellEnd"/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документам</w:t>
            </w:r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, та не обмежуватись ними.</w:t>
            </w:r>
          </w:p>
          <w:p w:rsidR="00BC32FB" w:rsidRPr="00BC32FB" w:rsidRDefault="00BC32FB" w:rsidP="00BC32F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ДБН В.2.2-4:2018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Заклади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1C469E" w:rsidRPr="00196E2E" w:rsidRDefault="001C469E" w:rsidP="00196E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ДБН В.2.6-33 2018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стін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із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фасадною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теплоізоляцією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. </w:t>
            </w:r>
          </w:p>
          <w:p w:rsidR="001C469E" w:rsidRPr="001C469E" w:rsidRDefault="001C469E" w:rsidP="001C46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Загальні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умови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196E2E" w:rsidRDefault="001C469E" w:rsidP="00196E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ДСТУ Б В.2.6-189 2013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Методи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вибору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теплоізоляційного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C469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для</w:t>
            </w:r>
            <w:r w:rsidR="00196E2E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E2E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будівель</w:t>
            </w:r>
            <w:proofErr w:type="spellEnd"/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які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лист – заявка на участь в 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конкурсі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копії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компанії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приклад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однієї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проектно-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з комплексної </w:t>
            </w:r>
            <w:proofErr w:type="spellStart"/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термомодернізації</w:t>
            </w:r>
            <w:proofErr w:type="spellEnd"/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перелік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подібних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ПКД (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таблична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форма).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періоду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2014 до 2019 року, 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містити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дані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послуг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включно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із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контактними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даними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досвіду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робіт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вигляді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трьох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копій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наданого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переліку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довідка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формі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що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учасник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визнаний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банкрутом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та 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відносно</w:t>
            </w:r>
            <w:proofErr w:type="spellEnd"/>
            <w:proofErr w:type="gram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нього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  не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відкрита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ліквідаційна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процедура;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довідка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органу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платежам </w:t>
            </w:r>
            <w:proofErr w:type="gram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 бюджету</w:t>
            </w:r>
            <w:proofErr w:type="gram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матеріально-технічною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базою;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необхідний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штат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кваліфікацій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які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мають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досвід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договору 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кваліфікаційний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документ на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ПКД;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опис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робіт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довідка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.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Перелік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(та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їх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адреси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проектно-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C19" w:rsidRDefault="00BC32FB" w:rsidP="00546FA5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освіти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«</w:t>
            </w:r>
            <w:r w:rsidR="00546FA5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Ромашка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» </w:t>
            </w:r>
          </w:p>
          <w:p w:rsidR="00BC32FB" w:rsidRPr="00BC32FB" w:rsidRDefault="00304EAF" w:rsidP="00304EAF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обл., </w:t>
            </w:r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м. </w:t>
            </w:r>
            <w:r w:rsidR="00546FA5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Коломия</w:t>
            </w:r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78200</w:t>
            </w:r>
            <w:r w:rsidR="00BC32FB"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 вул. Чайковського, 20</w:t>
            </w:r>
            <w:r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.</w:t>
            </w:r>
          </w:p>
        </w:tc>
      </w:tr>
      <w:tr w:rsidR="00BC32FB" w:rsidRPr="00BC32FB" w:rsidTr="00E70649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spacing w:after="0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Характеристики ДНЗ №9: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32FB" w:rsidRPr="00BC32FB" w:rsidRDefault="00BC32FB" w:rsidP="00BC32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рік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забудови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: 19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76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рік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опалювальна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площа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: 2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213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. м</w:t>
            </w:r>
            <w:r w:rsidRPr="00BC32FB">
              <w:rPr>
                <w:rFonts w:ascii="Arial" w:eastAsia="Times New Roman" w:hAnsi="Arial" w:cs="Arial"/>
                <w:color w:val="303135"/>
                <w:sz w:val="18"/>
                <w:szCs w:val="18"/>
                <w:vertAlign w:val="superscript"/>
                <w:lang w:eastAsia="ru-RU"/>
              </w:rPr>
              <w:t>2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опалювальний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об′єм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: 10919.66 м</w:t>
            </w:r>
            <w:r w:rsidRPr="00BC32FB">
              <w:rPr>
                <w:rFonts w:ascii="Arial" w:eastAsia="Times New Roman" w:hAnsi="Arial" w:cs="Arial"/>
                <w:color w:val="303135"/>
                <w:sz w:val="18"/>
                <w:szCs w:val="18"/>
                <w:vertAlign w:val="superscript"/>
                <w:lang w:eastAsia="ru-RU"/>
              </w:rPr>
              <w:t>3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</w:p>
          <w:p w:rsidR="00BC32FB" w:rsidRPr="00BC32FB" w:rsidRDefault="00BC32FB" w:rsidP="00BC32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поверхів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: 2;</w:t>
            </w:r>
          </w:p>
          <w:p w:rsidR="00BC32FB" w:rsidRPr="00BC32FB" w:rsidRDefault="00BC32FB" w:rsidP="00304EAF">
            <w:pPr>
              <w:numPr>
                <w:ilvl w:val="0"/>
                <w:numId w:val="5"/>
              </w:numPr>
              <w:tabs>
                <w:tab w:val="left" w:pos="664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опис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будівлі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: 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капітальна</w:t>
            </w: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будівля</w:t>
            </w:r>
            <w:proofErr w:type="spellEnd"/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цегляними</w:t>
            </w:r>
            <w:proofErr w:type="spellEnd"/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стінами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;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 xml:space="preserve"> залізобетонним перекриттям над підвалом та холодного горища </w:t>
            </w:r>
          </w:p>
          <w:p w:rsidR="00BC32FB" w:rsidRPr="00BC32FB" w:rsidRDefault="00BC32FB" w:rsidP="00BC32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proofErr w:type="spellStart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 xml:space="preserve">: </w:t>
            </w:r>
            <w:r w:rsidR="00304EAF">
              <w:rPr>
                <w:rFonts w:ascii="Arial" w:eastAsia="Times New Roman" w:hAnsi="Arial" w:cs="Arial"/>
                <w:color w:val="303135"/>
                <w:sz w:val="24"/>
                <w:szCs w:val="24"/>
                <w:lang w:val="uk-UA" w:eastAsia="ru-RU"/>
              </w:rPr>
              <w:t>газові котли</w:t>
            </w:r>
          </w:p>
          <w:p w:rsidR="00BC32FB" w:rsidRPr="00BC32FB" w:rsidRDefault="00BC32FB" w:rsidP="001C469E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.</w:t>
            </w:r>
          </w:p>
          <w:p w:rsidR="00BC32FB" w:rsidRPr="00BC32FB" w:rsidRDefault="00BC32FB" w:rsidP="00BC32FB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</w:pPr>
            <w:r w:rsidRPr="00BC32FB">
              <w:rPr>
                <w:rFonts w:ascii="Arial" w:eastAsia="Times New Roman" w:hAnsi="Arial" w:cs="Arial"/>
                <w:color w:val="303135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BC32FB" w:rsidRPr="00BC32FB" w:rsidRDefault="00BC32FB" w:rsidP="00BC32F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24"/>
          <w:szCs w:val="24"/>
          <w:lang w:eastAsia="ru-RU"/>
        </w:rPr>
      </w:pPr>
      <w:r w:rsidRPr="00BC32FB">
        <w:rPr>
          <w:rFonts w:ascii="Arial" w:eastAsia="Times New Roman" w:hAnsi="Arial" w:cs="Arial"/>
          <w:b/>
          <w:bCs/>
          <w:i/>
          <w:iCs/>
          <w:color w:val="303135"/>
          <w:sz w:val="24"/>
          <w:szCs w:val="24"/>
          <w:lang w:eastAsia="ru-RU"/>
        </w:rPr>
        <w:t> </w:t>
      </w:r>
      <w:proofErr w:type="spellStart"/>
      <w:r w:rsidRPr="00BC32FB">
        <w:rPr>
          <w:rFonts w:ascii="Arial" w:eastAsia="Times New Roman" w:hAnsi="Arial" w:cs="Arial"/>
          <w:b/>
          <w:bCs/>
          <w:color w:val="303135"/>
          <w:sz w:val="24"/>
          <w:szCs w:val="24"/>
          <w:lang w:eastAsia="ru-RU"/>
        </w:rPr>
        <w:t>Критерії</w:t>
      </w:r>
      <w:proofErr w:type="spellEnd"/>
      <w:r w:rsidRPr="00BC32FB">
        <w:rPr>
          <w:rFonts w:ascii="Arial" w:eastAsia="Times New Roman" w:hAnsi="Arial" w:cs="Arial"/>
          <w:b/>
          <w:bCs/>
          <w:color w:val="3031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32FB">
        <w:rPr>
          <w:rFonts w:ascii="Arial" w:eastAsia="Times New Roman" w:hAnsi="Arial" w:cs="Arial"/>
          <w:b/>
          <w:bCs/>
          <w:color w:val="303135"/>
          <w:sz w:val="24"/>
          <w:szCs w:val="24"/>
          <w:lang w:eastAsia="ru-RU"/>
        </w:rPr>
        <w:t>оцінки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 </w:t>
      </w:r>
      <w:r w:rsidR="00304EAF"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  <w:t>:</w:t>
      </w:r>
      <w:proofErr w:type="gram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      </w:t>
      </w:r>
    </w:p>
    <w:p w:rsidR="00304EAF" w:rsidRDefault="00BC32FB" w:rsidP="00BC32F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24"/>
          <w:szCs w:val="24"/>
          <w:lang w:eastAsia="ru-RU"/>
        </w:rPr>
      </w:pPr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1.Спроможність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суб’єкта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господарювання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забезпечити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наявність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всіх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необхідних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r w:rsidR="00304EAF"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  <w:t xml:space="preserve"> зазначених</w:t>
      </w:r>
      <w:proofErr w:type="gramEnd"/>
      <w:r w:rsidR="00304EAF"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документів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, </w:t>
      </w:r>
    </w:p>
    <w:p w:rsidR="00BC32FB" w:rsidRPr="00304EAF" w:rsidRDefault="00BC32FB" w:rsidP="00BC32F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</w:pPr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2.Ціна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комерційної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пропозиції</w:t>
      </w:r>
      <w:proofErr w:type="spellEnd"/>
      <w:r w:rsidR="00304EAF"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  <w:t>( до</w:t>
      </w:r>
      <w:proofErr w:type="gramEnd"/>
      <w:r w:rsidR="00304EAF">
        <w:rPr>
          <w:rFonts w:ascii="Arial" w:eastAsia="Times New Roman" w:hAnsi="Arial" w:cs="Arial"/>
          <w:color w:val="303135"/>
          <w:sz w:val="24"/>
          <w:szCs w:val="24"/>
          <w:lang w:val="uk-UA" w:eastAsia="ru-RU"/>
        </w:rPr>
        <w:t xml:space="preserve"> 50 000 грн)</w:t>
      </w:r>
    </w:p>
    <w:p w:rsidR="00BC32FB" w:rsidRPr="00BC32FB" w:rsidRDefault="00BC32FB" w:rsidP="00BC32F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24"/>
          <w:szCs w:val="24"/>
          <w:lang w:eastAsia="ru-RU"/>
        </w:rPr>
      </w:pPr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3.Організаційно-технічна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можливість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забезпечити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оперативну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роботу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щодо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розробки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даної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ПКД</w:t>
      </w:r>
    </w:p>
    <w:p w:rsidR="00BC32FB" w:rsidRPr="00BC32FB" w:rsidRDefault="00BC32FB" w:rsidP="00BC32F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24"/>
          <w:szCs w:val="24"/>
          <w:lang w:eastAsia="ru-RU"/>
        </w:rPr>
      </w:pPr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Участь у конкурсному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відборі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можуть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приймати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всі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зацікавлені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суб’єкти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господарювання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(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юридичні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особи та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фізичні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особи-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підприємці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),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які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здійснюють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господарську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діяльність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на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території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України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(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окрім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тимчасово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окупованих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територій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 xml:space="preserve"> ОРДЛО та АР </w:t>
      </w:r>
      <w:proofErr w:type="spellStart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Крим</w:t>
      </w:r>
      <w:proofErr w:type="spellEnd"/>
      <w:r w:rsidRPr="00BC32FB">
        <w:rPr>
          <w:rFonts w:ascii="Arial" w:eastAsia="Times New Roman" w:hAnsi="Arial" w:cs="Arial"/>
          <w:color w:val="303135"/>
          <w:sz w:val="24"/>
          <w:szCs w:val="24"/>
          <w:lang w:eastAsia="ru-RU"/>
        </w:rPr>
        <w:t>).</w:t>
      </w:r>
    </w:p>
    <w:p w:rsidR="00520B59" w:rsidRDefault="00520B59"/>
    <w:sectPr w:rsidR="005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FC6"/>
    <w:multiLevelType w:val="multilevel"/>
    <w:tmpl w:val="6A3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B2EC4"/>
    <w:multiLevelType w:val="multilevel"/>
    <w:tmpl w:val="984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878FD"/>
    <w:multiLevelType w:val="multilevel"/>
    <w:tmpl w:val="A52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70F35"/>
    <w:multiLevelType w:val="multilevel"/>
    <w:tmpl w:val="447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1163B2"/>
    <w:multiLevelType w:val="multilevel"/>
    <w:tmpl w:val="C93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6"/>
    <w:rsid w:val="00196E2E"/>
    <w:rsid w:val="001C469E"/>
    <w:rsid w:val="00304EAF"/>
    <w:rsid w:val="00520B59"/>
    <w:rsid w:val="00546FA5"/>
    <w:rsid w:val="00622586"/>
    <w:rsid w:val="00732919"/>
    <w:rsid w:val="00BC32FB"/>
    <w:rsid w:val="00C36C19"/>
    <w:rsid w:val="00E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8E62"/>
  <w15:chartTrackingRefBased/>
  <w15:docId w15:val="{A9799C41-40BA-4968-8B91-85FAA39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Iryna.Zholob</dc:creator>
  <cp:keywords/>
  <dc:description/>
  <cp:lastModifiedBy>Iryna.Zholob</cp:lastModifiedBy>
  <cp:revision>2</cp:revision>
  <dcterms:created xsi:type="dcterms:W3CDTF">2020-05-06T15:02:00Z</dcterms:created>
  <dcterms:modified xsi:type="dcterms:W3CDTF">2020-05-06T15:02:00Z</dcterms:modified>
</cp:coreProperties>
</file>