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C8" w:rsidRPr="00F42BFF" w:rsidRDefault="000548C8" w:rsidP="00F42BFF">
      <w:pPr>
        <w:spacing w:after="0" w:line="21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2BF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Аналіз регуляторного впливу</w:t>
      </w:r>
    </w:p>
    <w:p w:rsidR="000548C8" w:rsidRPr="00F42BFF" w:rsidRDefault="00975049" w:rsidP="00F42BFF">
      <w:pPr>
        <w:spacing w:after="0" w:line="21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2BF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</w:t>
      </w:r>
      <w:r w:rsidR="000548C8" w:rsidRPr="00F42BF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</w:t>
      </w:r>
      <w:r w:rsidRPr="00F42BF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проекту </w:t>
      </w:r>
      <w:r w:rsidR="000548C8" w:rsidRPr="00F42BF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рішення </w:t>
      </w:r>
      <w:r w:rsidR="00DF4ADC" w:rsidRPr="00F42BF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виконавчого комітету </w:t>
      </w:r>
      <w:r w:rsidR="000548C8" w:rsidRPr="00F42BF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6F2A61" w:rsidRPr="00F42BF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Коломийської</w:t>
      </w:r>
      <w:r w:rsidR="000548C8" w:rsidRPr="00F42BF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міської ради </w:t>
      </w:r>
    </w:p>
    <w:p w:rsidR="000548C8" w:rsidRPr="00F42BFF" w:rsidRDefault="000548C8" w:rsidP="00F42BFF">
      <w:pPr>
        <w:spacing w:after="0" w:line="21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Hlk529375420"/>
      <w:bookmarkEnd w:id="0"/>
      <w:r w:rsidRPr="00F42BF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r w:rsidR="00975049" w:rsidRPr="00F42BF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затвердження </w:t>
      </w:r>
      <w:r w:rsidR="00DF4ADC" w:rsidRPr="00F42BF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норм надання послуг з вивезення побутових відходів</w:t>
      </w:r>
      <w:r w:rsidRPr="00F42BF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</w:p>
    <w:p w:rsidR="000548C8" w:rsidRPr="00F42BFF" w:rsidRDefault="000548C8" w:rsidP="00F42BFF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6972D1" w:rsidRPr="00F42BFF" w:rsidTr="00F42BFF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8C8" w:rsidRPr="00F42BFF" w:rsidRDefault="000548C8" w:rsidP="00F42BFF">
            <w:pPr>
              <w:shd w:val="clear" w:color="auto" w:fill="FFFFFF"/>
              <w:spacing w:after="0" w:line="210" w:lineRule="atLeast"/>
              <w:ind w:firstLine="864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  <w:bookmarkStart w:id="1" w:name="_Hlk529369664"/>
            <w:bookmarkEnd w:id="1"/>
            <w:r w:rsidRPr="00F42B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Аналіз регуляторного впливу розроблений на виконання вимог Закону України «Про засади державної регуляторної політики у сфері господарської діяльності» від 11.09.2003 № 1160-ІV та Методики проведення аналізу впливу регуляторного акт</w:t>
            </w:r>
            <w:r w:rsidR="00757838" w:rsidRPr="00F42B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Pr="00F42B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затвердженої постановою Кабінету Міністрів України від 11.03.2004 № 308-2004-п та визначає правові і організаційні засади реалізації проекту </w:t>
            </w:r>
            <w:r w:rsidR="00975049" w:rsidRPr="00F42B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рішення</w:t>
            </w:r>
            <w:r w:rsidRPr="00F42B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DF4ADC" w:rsidRPr="00F42B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виконавчого комітету </w:t>
            </w:r>
            <w:r w:rsidRPr="00F42B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="00DF4ADC" w:rsidRPr="00F42B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Про затвердження норм надання послуг з вивезення побутових відходів</w:t>
            </w:r>
            <w:r w:rsidRPr="00F42B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 (надалі - проект рішення), як регуляторного акту</w:t>
            </w:r>
            <w:r w:rsidR="00DF4ADC"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 метою перегляду норм надання послуг з вивезення побутових відходів у Коломийській територіальній громаді</w:t>
            </w:r>
            <w:r w:rsidRPr="00F42B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0548C8" w:rsidRPr="00F42BFF" w:rsidRDefault="000548C8" w:rsidP="00F42BFF">
            <w:pPr>
              <w:shd w:val="clear" w:color="auto" w:fill="FFFFFF"/>
              <w:spacing w:after="0" w:line="210" w:lineRule="atLeast"/>
              <w:ind w:firstLine="864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</w:p>
          <w:p w:rsidR="000548C8" w:rsidRPr="00F42BFF" w:rsidRDefault="00870A02" w:rsidP="00F42BFF">
            <w:pPr>
              <w:shd w:val="clear" w:color="auto" w:fill="FFFFFF"/>
              <w:spacing w:after="0" w:line="210" w:lineRule="atLeast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  <w:r w:rsidRPr="00F42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1.</w:t>
            </w:r>
            <w:r w:rsidR="000548C8" w:rsidRPr="00F42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Визначення проблеми</w:t>
            </w:r>
          </w:p>
          <w:p w:rsidR="00F42BFF" w:rsidRDefault="00DF4ADC" w:rsidP="00F42BF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_Hlk529375852"/>
            <w:bookmarkEnd w:id="2"/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Регуляторним актом, що є предметом цього Аналізу, планується затвердити нові, економічно обґрунтовані норми надання послуг з вивезення побутових відходів. Повноваження щодо затвердження зазначених норм віднесені до компетенції органів місцевого самоврядування.</w:t>
            </w:r>
            <w:r w:rsidR="00A6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Норми надання послуг використовуються для розрахунків під час проектування схем санітарної очистки, об’єктів для захоронення побутових відходів, у процесі визначення необхідної кількості машин та механізмів, обслуговуючого персоналу, планування робіт та витрат на очистку території міста, а також для визначення обсягів утворення відходів на об’єкті для розрахунків між замовниками та підприємствами які виконують роботи із санітарної очистки міста.</w:t>
            </w:r>
          </w:p>
          <w:p w:rsidR="00F42BFF" w:rsidRDefault="00DF4ADC" w:rsidP="00F42BF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З метою перегляду норм надання послуг з вивезення побутових відходів у м. Коломия було управлінням комунального господарства було підписано договір № 69 від 25.03.2021 року з ТОВ «Інститут комунальної інфраструктури» (Далі - Інститут) для визначення норм надання послуг у Коломийській</w:t>
            </w:r>
            <w:r w:rsid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ТГ.</w:t>
            </w:r>
          </w:p>
          <w:p w:rsidR="00F42BFF" w:rsidRDefault="00F42BFF" w:rsidP="00F42BF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DF4ADC"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визначення норм Інститутом було взято до розгляду 20 маршрутів, за якими було проведено вимірювання кількості утворення твердих побутових відходів.</w:t>
            </w:r>
          </w:p>
          <w:p w:rsidR="00F42BFF" w:rsidRDefault="00F42BFF" w:rsidP="00F42BF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F4ADC"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кожної категорії утворення твердих побутових відходів було визначено перелік адрес контейнерних майданчиків, на яких проводились вимірювання, та відповідальних осіб – представників управління та перевізника, для якого проводились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F4ADC"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F4ADC"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вимірювання.</w:t>
            </w:r>
          </w:p>
          <w:p w:rsidR="00F42BFF" w:rsidRDefault="00F42BFF" w:rsidP="00F42BF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="00DF4ADC"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Вимірювання кількості утворення відходів проводились</w:t>
            </w:r>
            <w:r w:rsidR="00035339"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щоденно в період з 29.03</w:t>
            </w:r>
            <w:r w:rsidR="00DF4ADC"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.2021 по 04.04.2021 з подальшим їх вивезенням. Результати зважування ТПВ були занесені до відповідних протоколів зважування . За даними протоколів, Інститут здійснив розрахунок норм надання послуг з вивезення побутових відходів у Коломийській ТГ, який викладено у розрахунковому звіті з визначення норм надання послуг н</w:t>
            </w:r>
            <w:r w:rsidR="00035339"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вивезення побутових відходів </w:t>
            </w:r>
            <w:r w:rsidR="00DF4ADC"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2021-2026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F4ADC"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роки.</w:t>
            </w:r>
          </w:p>
          <w:p w:rsidR="00F42BFF" w:rsidRDefault="00DF4ADC" w:rsidP="00A616BA">
            <w:pPr>
              <w:shd w:val="clear" w:color="auto" w:fill="FFFFFF"/>
              <w:spacing w:after="0" w:line="210" w:lineRule="atLeast"/>
              <w:ind w:firstLine="5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Визначення норм надання послуг з вивезення побутових відходів у Коломийській ТГ було здійснено відповідно до вимог наказу Міністерства з питань житлово-комунального господарства України від 30.07.2010 р. №259 «Про затвердження правил визначення норм надання послуг з вивезення побутових</w:t>
            </w:r>
            <w:r w:rsid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відходів».</w:t>
            </w:r>
          </w:p>
          <w:p w:rsidR="00F42BFF" w:rsidRDefault="00DF4ADC" w:rsidP="00A616BA">
            <w:pPr>
              <w:shd w:val="clear" w:color="auto" w:fill="FFFFFF"/>
              <w:spacing w:after="0" w:line="210" w:lineRule="atLeast"/>
              <w:ind w:firstLine="5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категорій утворення відходів, на яких не проводились дослідження, приймаються мінімальні норми надання послуг, затверджені постановою Кабінету Міністрів України від 10.12.2008 р. № 1070 «Про затвердження правил надання послуг з вивезення побутових відходів».</w:t>
            </w:r>
          </w:p>
          <w:p w:rsidR="009A472F" w:rsidRDefault="009A472F" w:rsidP="00F42BF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48C8" w:rsidRPr="00A616BA" w:rsidRDefault="000548C8" w:rsidP="00A616BA">
            <w:pPr>
              <w:shd w:val="clear" w:color="auto" w:fill="FFFFFF"/>
              <w:spacing w:after="0" w:line="210" w:lineRule="atLeast"/>
              <w:jc w:val="center"/>
              <w:rPr>
                <w:rFonts w:ascii="Helvetica" w:eastAsia="Times New Roman" w:hAnsi="Helvetica" w:cs="Helvetica"/>
                <w:b/>
                <w:sz w:val="28"/>
                <w:szCs w:val="28"/>
                <w:lang w:eastAsia="uk-UA"/>
              </w:rPr>
            </w:pPr>
            <w:r w:rsidRPr="00A61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Основні групи (підгрупи), на які проблема справляє вплив:</w:t>
            </w:r>
          </w:p>
          <w:p w:rsidR="000548C8" w:rsidRPr="00F42BFF" w:rsidRDefault="000548C8" w:rsidP="00F42BFF">
            <w:pPr>
              <w:shd w:val="clear" w:color="auto" w:fill="FFFFFF"/>
              <w:spacing w:after="0" w:line="210" w:lineRule="atLeast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</w:p>
          <w:tbl>
            <w:tblPr>
              <w:tblW w:w="9345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923"/>
              <w:gridCol w:w="2227"/>
              <w:gridCol w:w="2195"/>
            </w:tblGrid>
            <w:tr w:rsidR="006972D1" w:rsidRPr="00F42BFF" w:rsidTr="00162925">
              <w:tc>
                <w:tcPr>
                  <w:tcW w:w="45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548C8" w:rsidRPr="00F42BFF" w:rsidRDefault="000548C8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Групи (підгрупи)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548C8" w:rsidRPr="00F42BFF" w:rsidRDefault="000548C8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Так</w:t>
                  </w:r>
                </w:p>
              </w:tc>
              <w:tc>
                <w:tcPr>
                  <w:tcW w:w="20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548C8" w:rsidRPr="00F42BFF" w:rsidRDefault="000548C8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Ні</w:t>
                  </w:r>
                </w:p>
              </w:tc>
            </w:tr>
            <w:tr w:rsidR="006972D1" w:rsidRPr="00F42BFF" w:rsidTr="00162925">
              <w:tc>
                <w:tcPr>
                  <w:tcW w:w="45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548C8" w:rsidRPr="00F42BFF" w:rsidRDefault="000548C8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Громадяни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548C8" w:rsidRPr="00F42BFF" w:rsidRDefault="000548C8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  <w:t>+</w:t>
                  </w:r>
                </w:p>
              </w:tc>
              <w:tc>
                <w:tcPr>
                  <w:tcW w:w="20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548C8" w:rsidRPr="00F42BFF" w:rsidRDefault="000548C8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6972D1" w:rsidRPr="00F42BFF" w:rsidTr="00162925">
              <w:tc>
                <w:tcPr>
                  <w:tcW w:w="45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548C8" w:rsidRPr="00F42BFF" w:rsidRDefault="000548C8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Держава (органи місцевого самоврядування)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548C8" w:rsidRPr="00F42BFF" w:rsidRDefault="000548C8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+</w:t>
                  </w:r>
                </w:p>
              </w:tc>
              <w:tc>
                <w:tcPr>
                  <w:tcW w:w="20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548C8" w:rsidRPr="00F42BFF" w:rsidRDefault="000548C8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6972D1" w:rsidRPr="00F42BFF" w:rsidTr="00162925">
              <w:tc>
                <w:tcPr>
                  <w:tcW w:w="45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548C8" w:rsidRPr="00F42BFF" w:rsidRDefault="000548C8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Суб'єкти господарювання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548C8" w:rsidRPr="00F42BFF" w:rsidRDefault="000548C8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+</w:t>
                  </w:r>
                </w:p>
              </w:tc>
              <w:tc>
                <w:tcPr>
                  <w:tcW w:w="20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548C8" w:rsidRPr="00F42BFF" w:rsidRDefault="000548C8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6972D1" w:rsidRPr="00F42BFF" w:rsidTr="00162925">
              <w:tc>
                <w:tcPr>
                  <w:tcW w:w="45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0548C8" w:rsidRPr="00F42BFF" w:rsidRDefault="000548C8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у тому числі суб'єкти малого підприємництва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548C8" w:rsidRPr="00F42BFF" w:rsidRDefault="000548C8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+</w:t>
                  </w:r>
                </w:p>
              </w:tc>
              <w:tc>
                <w:tcPr>
                  <w:tcW w:w="20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548C8" w:rsidRPr="00F42BFF" w:rsidRDefault="000548C8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0548C8" w:rsidRPr="00F42BFF" w:rsidRDefault="000548C8" w:rsidP="00F42BFF">
            <w:pPr>
              <w:shd w:val="clear" w:color="auto" w:fill="FFFFFF"/>
              <w:spacing w:after="158" w:line="210" w:lineRule="atLeast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  <w:r w:rsidRPr="00F42BFF"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  <w:br/>
            </w:r>
            <w:r w:rsidRPr="00F42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2. Цілі місцевого регулювання</w:t>
            </w:r>
          </w:p>
          <w:p w:rsidR="000548C8" w:rsidRPr="00F42BFF" w:rsidRDefault="000548C8" w:rsidP="00F42BFF">
            <w:pPr>
              <w:shd w:val="clear" w:color="auto" w:fill="FFFFFF"/>
              <w:spacing w:after="0" w:line="210" w:lineRule="atLeast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</w:p>
          <w:p w:rsidR="00A616BA" w:rsidRDefault="00DF4ADC" w:rsidP="00A616BA">
            <w:pPr>
              <w:shd w:val="clear" w:color="auto" w:fill="FFFFFF"/>
              <w:spacing w:after="0" w:line="210" w:lineRule="atLeast"/>
              <w:ind w:firstLine="5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Метою даного регулювання є встановлення економічно обґрунтованих норм надання послуг з вивезення побутових відходів, що застосовуються у практичній діяльності органів місцевого самоврядув</w:t>
            </w:r>
            <w:r w:rsidR="00A6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ання, підприємств перевізників, </w:t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споживачів відповідних послуг.</w:t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6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Встановлення економічно обґрунтованих норм надання послуг з вивезення побутових відходів допоможе також опосередковано досягти наступних цілей:</w:t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підвищити якість організації діяльності щодо поводження з ТПВ та, як наслідок, покращити санітарно-епідеміологічну ситуацію у місті;</w:t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досягти балансу між коштами, що виділяються з бюджету різних рівнів на санітарну очистку міста та реальними потребами</w:t>
            </w:r>
            <w:r w:rsidR="00035339"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громади</w:t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548C8" w:rsidRPr="00F42BFF" w:rsidRDefault="000548C8" w:rsidP="00A616BA">
            <w:pPr>
              <w:shd w:val="clear" w:color="auto" w:fill="FFFFFF"/>
              <w:spacing w:after="0" w:line="210" w:lineRule="atLeast"/>
              <w:ind w:firstLine="561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  <w:r w:rsidRPr="00F42B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F42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3. Визначення та оцінка альтернативних способів досягнення</w:t>
            </w:r>
            <w:r w:rsidR="00916348" w:rsidRPr="00F42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встановлених </w:t>
            </w:r>
            <w:r w:rsidRPr="00F42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цілей</w:t>
            </w:r>
          </w:p>
          <w:p w:rsidR="000548C8" w:rsidRPr="00F42BFF" w:rsidRDefault="000548C8" w:rsidP="00F42BFF">
            <w:pPr>
              <w:shd w:val="clear" w:color="auto" w:fill="FFFFFF"/>
              <w:spacing w:after="0" w:line="210" w:lineRule="atLeast"/>
              <w:jc w:val="center"/>
              <w:rPr>
                <w:rFonts w:eastAsia="Times New Roman" w:cs="Helvetica"/>
                <w:sz w:val="28"/>
                <w:szCs w:val="28"/>
                <w:lang w:eastAsia="uk-UA"/>
              </w:rPr>
            </w:pPr>
          </w:p>
          <w:p w:rsidR="004B624C" w:rsidRDefault="00110DAA" w:rsidP="00F42BF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Основною метою прийняття рішення є затвердження нових норм надання послуг з вивезення побутових відходів. Перегляд норм є об'єктивною необхідністю доведеною науковцями та обумовленою законодавством України. При цьому їх затвердження не передбачає великих витрат.</w:t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Застосування затверджених норм не передбачає додаткових витрат суб’єктів господарювання,</w:t>
            </w:r>
            <w:r w:rsid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громадян,</w:t>
            </w:r>
            <w:r w:rsid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держави.</w:t>
            </w:r>
          </w:p>
          <w:p w:rsidR="004B624C" w:rsidRDefault="00110DAA" w:rsidP="00F42BF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      Ризик впливу зовнішніх факторів відсутній. У</w:t>
            </w:r>
            <w:r w:rsidR="00035339"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</w:t>
            </w:r>
            <w:r w:rsidR="00035339"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 зміни економічної, політичної</w:t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або соціальної ситуації</w:t>
            </w:r>
            <w:r w:rsidR="00035339"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яка вплине на кількісні показники, затверджені нормами, вони повинні бути переглянуті у встановленому чинним законодавством порядку.</w:t>
            </w:r>
          </w:p>
          <w:p w:rsidR="00110DAA" w:rsidRPr="00F42BFF" w:rsidRDefault="00110DAA" w:rsidP="00F42BFF">
            <w:pPr>
              <w:shd w:val="clear" w:color="auto" w:fill="FFFFFF"/>
              <w:spacing w:after="0" w:line="210" w:lineRule="atLeast"/>
              <w:jc w:val="both"/>
              <w:rPr>
                <w:rFonts w:eastAsia="Times New Roman" w:cs="Helvetica"/>
                <w:sz w:val="28"/>
                <w:szCs w:val="28"/>
                <w:lang w:eastAsia="uk-UA"/>
              </w:rPr>
            </w:pP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Застосування цих норм у розрахунках (щодо визначення вартості перевезень, об’ємів відходів, що утворюються на відповідних об’єктах, при плануванні ,тощо) дозволить уникнути розбіжностей між їх розрахунковими та реальними (економічно обґрунтованими та фактично підтверджені практикою) числовими </w:t>
            </w:r>
            <w:proofErr w:type="spellStart"/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вираженнями</w:t>
            </w:r>
            <w:proofErr w:type="spellEnd"/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Таким чином проблема та основна ціль, сформовані в цьому Аналізі, будуть вирішені. Відповідно будуть створені передумови для досягнення цілей, які є результатом опосередкованого впливу норм на г</w:t>
            </w:r>
            <w:r w:rsid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ромаду</w:t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В якості наслідку реалізації запропонованого механізму, окрім вирішення поставленої проблеми, очікується також значний позитивний (системний) вплив.</w:t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Реалізація запропонованого механізму не вимагає від органів місцевого самоврядування великих витрат. Організаційні заходи щодо введення цього акту в дію обмежуються необхідністю ознайомити зацікавлених осіб з його змістом шляхом опублікування у засобах масової інформації та необхідністю проведення періодичних </w:t>
            </w:r>
            <w:proofErr w:type="spellStart"/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відстежень</w:t>
            </w:r>
            <w:proofErr w:type="spellEnd"/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Таким чином впровадження практично не залежить від матеріального фактору.</w:t>
            </w:r>
          </w:p>
          <w:p w:rsidR="000548C8" w:rsidRPr="00F42BFF" w:rsidRDefault="000548C8" w:rsidP="00F42BFF">
            <w:pPr>
              <w:shd w:val="clear" w:color="auto" w:fill="FFFFFF"/>
              <w:spacing w:after="0" w:line="210" w:lineRule="atLeast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  <w:r w:rsidRPr="00F42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br/>
              <w:t xml:space="preserve">Оцінка впливу на сферу інтересів </w:t>
            </w:r>
            <w:r w:rsidR="00FD283D" w:rsidRPr="00F42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територіальної громади</w:t>
            </w:r>
            <w:r w:rsidRPr="00F42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:</w:t>
            </w:r>
          </w:p>
          <w:p w:rsidR="000548C8" w:rsidRPr="00F42BFF" w:rsidRDefault="000548C8" w:rsidP="00F42BFF">
            <w:pPr>
              <w:shd w:val="clear" w:color="auto" w:fill="FFFFFF"/>
              <w:spacing w:after="0" w:line="210" w:lineRule="atLeast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</w:p>
          <w:tbl>
            <w:tblPr>
              <w:tblW w:w="9326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9"/>
              <w:gridCol w:w="3957"/>
              <w:gridCol w:w="3260"/>
            </w:tblGrid>
            <w:tr w:rsidR="006972D1" w:rsidRPr="00F42BFF" w:rsidTr="00A616BA">
              <w:tc>
                <w:tcPr>
                  <w:tcW w:w="2109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548C8" w:rsidRPr="00F42BFF" w:rsidRDefault="000548C8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Вид альтернативи</w:t>
                  </w:r>
                </w:p>
              </w:tc>
              <w:tc>
                <w:tcPr>
                  <w:tcW w:w="3957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548C8" w:rsidRPr="00F42BFF" w:rsidRDefault="000548C8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Вигоди</w:t>
                  </w:r>
                </w:p>
              </w:tc>
              <w:tc>
                <w:tcPr>
                  <w:tcW w:w="326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548C8" w:rsidRPr="00F42BFF" w:rsidRDefault="000548C8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Витрати</w:t>
                  </w:r>
                </w:p>
              </w:tc>
            </w:tr>
            <w:tr w:rsidR="006972D1" w:rsidRPr="00F42BFF" w:rsidTr="00A616BA">
              <w:tc>
                <w:tcPr>
                  <w:tcW w:w="2109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548C8" w:rsidRPr="00F42BFF" w:rsidRDefault="000548C8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Альтернатива 1</w:t>
                  </w:r>
                </w:p>
              </w:tc>
              <w:tc>
                <w:tcPr>
                  <w:tcW w:w="3957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548C8" w:rsidRPr="00F42BFF" w:rsidRDefault="000548C8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Відсутні</w:t>
                  </w:r>
                </w:p>
              </w:tc>
              <w:tc>
                <w:tcPr>
                  <w:tcW w:w="326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548C8" w:rsidRPr="00F42BFF" w:rsidRDefault="00110DAA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Наявність стихійних сміттєзвалищ </w:t>
                  </w:r>
                  <w:r w:rsidR="00FD283D"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ліквідація стихійних сміттєзвалищ  за рахунок місцевого бюджету щорічно складатиме</w:t>
                  </w: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 </w:t>
                  </w:r>
                  <w:r w:rsidR="00FD283D"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орієнтовно </w:t>
                  </w:r>
                  <w:r w:rsidR="00534CF1"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50432</w:t>
                  </w:r>
                  <w:r w:rsidR="00FD283D"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,</w:t>
                  </w:r>
                  <w:r w:rsidR="00534CF1"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158</w:t>
                  </w:r>
                  <w:r w:rsidR="00FD283D"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FD283D"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тис.грн</w:t>
                  </w:r>
                  <w:proofErr w:type="spellEnd"/>
                  <w:r w:rsidR="00FD283D"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.   </w:t>
                  </w:r>
                </w:p>
              </w:tc>
            </w:tr>
            <w:tr w:rsidR="0029149A" w:rsidRPr="00F42BFF" w:rsidTr="00A616BA">
              <w:tc>
                <w:tcPr>
                  <w:tcW w:w="2109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29149A" w:rsidRPr="00F42BFF" w:rsidRDefault="0029149A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Альтернатива 2</w:t>
                  </w:r>
                </w:p>
              </w:tc>
              <w:tc>
                <w:tcPr>
                  <w:tcW w:w="3957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29149A" w:rsidRPr="00F42BFF" w:rsidRDefault="0029149A" w:rsidP="00F42BFF">
                  <w:pPr>
                    <w:pStyle w:val="a6"/>
                    <w:shd w:val="clear" w:color="auto" w:fill="FFFFFF"/>
                    <w:spacing w:before="180" w:beforeAutospacing="0" w:after="180" w:afterAutospacing="0"/>
                    <w:rPr>
                      <w:color w:val="1D1D1B"/>
                      <w:sz w:val="28"/>
                      <w:szCs w:val="28"/>
                    </w:rPr>
                  </w:pPr>
                  <w:r w:rsidRPr="00F42BFF">
                    <w:rPr>
                      <w:rFonts w:ascii="Arial" w:hAnsi="Arial" w:cs="Arial"/>
                      <w:color w:val="1D1D1B"/>
                      <w:sz w:val="28"/>
                      <w:szCs w:val="28"/>
                    </w:rPr>
                    <w:t> </w:t>
                  </w:r>
                  <w:r w:rsidRPr="00F42BFF">
                    <w:rPr>
                      <w:color w:val="1D1D1B"/>
                      <w:sz w:val="28"/>
                      <w:szCs w:val="28"/>
                    </w:rPr>
                    <w:t>Прозорість</w:t>
                  </w:r>
                  <w:r w:rsidRPr="00F42BFF">
                    <w:rPr>
                      <w:rFonts w:ascii="Arial" w:hAnsi="Arial" w:cs="Arial"/>
                      <w:color w:val="1D1D1B"/>
                      <w:sz w:val="28"/>
                      <w:szCs w:val="28"/>
                    </w:rPr>
                    <w:t xml:space="preserve"> </w:t>
                  </w:r>
                  <w:r w:rsidRPr="00F42BFF">
                    <w:rPr>
                      <w:color w:val="1D1D1B"/>
                      <w:sz w:val="28"/>
                      <w:szCs w:val="28"/>
                    </w:rPr>
                    <w:t>процедури коригування індивідуальних складових витрат, що сприятиме забезпеченню економічної обґрунтованості та прозорості запровадження зазначеного механізму на послуги;</w:t>
                  </w:r>
                </w:p>
                <w:p w:rsidR="0029149A" w:rsidRPr="00F42BFF" w:rsidRDefault="0029149A" w:rsidP="00F42BFF">
                  <w:pPr>
                    <w:pStyle w:val="a6"/>
                    <w:shd w:val="clear" w:color="auto" w:fill="FFFFFF"/>
                    <w:spacing w:before="180" w:beforeAutospacing="0" w:after="180" w:afterAutospacing="0"/>
                    <w:rPr>
                      <w:color w:val="1D1D1B"/>
                      <w:sz w:val="28"/>
                      <w:szCs w:val="28"/>
                    </w:rPr>
                  </w:pPr>
                  <w:r w:rsidRPr="00F42BFF">
                    <w:rPr>
                      <w:color w:val="1D1D1B"/>
                      <w:sz w:val="28"/>
                      <w:szCs w:val="28"/>
                    </w:rPr>
                    <w:t>- підвищення рівня організації робіт та якості послуг;</w:t>
                  </w:r>
                </w:p>
                <w:p w:rsidR="0029149A" w:rsidRPr="00F42BFF" w:rsidRDefault="0029149A" w:rsidP="00F42BFF">
                  <w:pPr>
                    <w:pStyle w:val="a6"/>
                    <w:shd w:val="clear" w:color="auto" w:fill="FFFFFF"/>
                    <w:spacing w:before="180" w:beforeAutospacing="0" w:after="180" w:afterAutospacing="0"/>
                    <w:rPr>
                      <w:color w:val="1D1D1B"/>
                      <w:sz w:val="28"/>
                      <w:szCs w:val="28"/>
                    </w:rPr>
                  </w:pPr>
                  <w:r w:rsidRPr="00F42BFF">
                    <w:rPr>
                      <w:color w:val="1D1D1B"/>
                      <w:sz w:val="28"/>
                      <w:szCs w:val="28"/>
                    </w:rPr>
                    <w:lastRenderedPageBreak/>
                    <w:t>- урегулювання відносин між виконавцем послуг і споживачами;</w:t>
                  </w:r>
                </w:p>
                <w:p w:rsidR="0029149A" w:rsidRPr="00F42BFF" w:rsidRDefault="0029149A" w:rsidP="00F42BFF">
                  <w:pPr>
                    <w:pStyle w:val="a6"/>
                    <w:shd w:val="clear" w:color="auto" w:fill="FFFFFF"/>
                    <w:spacing w:before="180" w:beforeAutospacing="0" w:after="180" w:afterAutospacing="0"/>
                    <w:rPr>
                      <w:rFonts w:ascii="Arial" w:hAnsi="Arial" w:cs="Arial"/>
                      <w:color w:val="1D1D1B"/>
                      <w:sz w:val="28"/>
                      <w:szCs w:val="28"/>
                    </w:rPr>
                  </w:pPr>
                  <w:r w:rsidRPr="00F42BFF">
                    <w:rPr>
                      <w:color w:val="1D1D1B"/>
                      <w:sz w:val="28"/>
                      <w:szCs w:val="28"/>
                    </w:rPr>
                    <w:t>- стабілізація фінансового стану підприємства-виконавця послуг з вивезення побутових відходів</w:t>
                  </w:r>
                  <w:r w:rsidRPr="00F42BFF">
                    <w:rPr>
                      <w:rFonts w:ascii="Arial" w:hAnsi="Arial" w:cs="Arial"/>
                      <w:color w:val="1D1D1B"/>
                      <w:sz w:val="28"/>
                      <w:szCs w:val="28"/>
                    </w:rPr>
                    <w:t>.</w:t>
                  </w:r>
                </w:p>
                <w:p w:rsidR="0029149A" w:rsidRPr="00F42BFF" w:rsidRDefault="0029149A" w:rsidP="00F42BFF">
                  <w:pPr>
                    <w:pStyle w:val="a5"/>
                    <w:spacing w:after="115" w:line="210" w:lineRule="atLea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26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29149A" w:rsidRPr="00F42BFF" w:rsidRDefault="0029149A" w:rsidP="00F42BFF">
                  <w:pPr>
                    <w:spacing w:after="115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lastRenderedPageBreak/>
                    <w:t>Витрати відсутні</w:t>
                  </w:r>
                </w:p>
              </w:tc>
            </w:tr>
          </w:tbl>
          <w:p w:rsidR="000548C8" w:rsidRPr="00F42BFF" w:rsidRDefault="000548C8" w:rsidP="00F42BFF">
            <w:pPr>
              <w:shd w:val="clear" w:color="auto" w:fill="FFFFFF"/>
              <w:spacing w:after="0" w:line="210" w:lineRule="atLeast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  <w:r w:rsidRPr="00F42B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F42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Оцінка впливу на сферу інтересів громадян:</w:t>
            </w:r>
          </w:p>
          <w:tbl>
            <w:tblPr>
              <w:tblW w:w="921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8"/>
              <w:gridCol w:w="3396"/>
              <w:gridCol w:w="2876"/>
            </w:tblGrid>
            <w:tr w:rsidR="006972D1" w:rsidRPr="00F42BFF" w:rsidTr="00162925">
              <w:tc>
                <w:tcPr>
                  <w:tcW w:w="2938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548C8" w:rsidRPr="00F42BFF" w:rsidRDefault="000548C8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Вид альтернативи</w:t>
                  </w:r>
                </w:p>
              </w:tc>
              <w:tc>
                <w:tcPr>
                  <w:tcW w:w="339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548C8" w:rsidRPr="00F42BFF" w:rsidRDefault="000548C8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Вигоди</w:t>
                  </w:r>
                </w:p>
              </w:tc>
              <w:tc>
                <w:tcPr>
                  <w:tcW w:w="287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548C8" w:rsidRPr="00F42BFF" w:rsidRDefault="000548C8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Витрати</w:t>
                  </w:r>
                </w:p>
              </w:tc>
            </w:tr>
            <w:tr w:rsidR="006972D1" w:rsidRPr="00F42BFF" w:rsidTr="00162925">
              <w:tc>
                <w:tcPr>
                  <w:tcW w:w="2938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548C8" w:rsidRPr="00F42BFF" w:rsidRDefault="000548C8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Альтернатива 1</w:t>
                  </w:r>
                </w:p>
              </w:tc>
              <w:tc>
                <w:tcPr>
                  <w:tcW w:w="339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548C8" w:rsidRPr="00F42BFF" w:rsidRDefault="0029149A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Надання послуг із вивезення побутових відходів</w:t>
                  </w:r>
                </w:p>
              </w:tc>
              <w:tc>
                <w:tcPr>
                  <w:tcW w:w="287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548C8" w:rsidRPr="00F42BFF" w:rsidRDefault="001E2906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Громадяни </w:t>
                  </w:r>
                  <w:r w:rsidR="00534CF1"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 несли</w:t>
                  </w: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 витрати в межах встановленого тарифу на вивіз побутових відходів</w:t>
                  </w:r>
                </w:p>
              </w:tc>
            </w:tr>
            <w:tr w:rsidR="006972D1" w:rsidRPr="00F42BFF" w:rsidTr="00162925">
              <w:tc>
                <w:tcPr>
                  <w:tcW w:w="2938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548C8" w:rsidRPr="00F42BFF" w:rsidRDefault="000548C8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Альтернатива 2</w:t>
                  </w:r>
                </w:p>
              </w:tc>
              <w:tc>
                <w:tcPr>
                  <w:tcW w:w="339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548C8" w:rsidRPr="00F42BFF" w:rsidRDefault="001E2906" w:rsidP="00F42BFF">
                  <w:pPr>
                    <w:spacing w:after="115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Надання послуг із вивезення побутових відходів. Забезпечення безперебійності надання послуг, обслуговування контейнерів, дотримання умов благоустрою. </w:t>
                  </w:r>
                </w:p>
                <w:p w:rsidR="001E2906" w:rsidRPr="00F42BFF" w:rsidRDefault="001E2906" w:rsidP="00F42BFF">
                  <w:pPr>
                    <w:spacing w:after="115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hAnsi="Times New Roman" w:cs="Times New Roman"/>
                      <w:color w:val="1D1D1B"/>
                      <w:sz w:val="28"/>
                      <w:szCs w:val="28"/>
                      <w:shd w:val="clear" w:color="auto" w:fill="FFFFFF"/>
                    </w:rPr>
                    <w:t>Підвищення рівня якості організації робіт у сфері поводження з побутовими відходами, поліпшення санітарно-епідеміологічного стану населеного пункту</w:t>
                  </w:r>
                </w:p>
              </w:tc>
              <w:tc>
                <w:tcPr>
                  <w:tcW w:w="287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1E2906" w:rsidRPr="00F42BFF" w:rsidRDefault="001E2906" w:rsidP="00F42BFF">
                  <w:pPr>
                    <w:pStyle w:val="a6"/>
                    <w:shd w:val="clear" w:color="auto" w:fill="FFFFFF"/>
                    <w:ind w:left="154"/>
                    <w:rPr>
                      <w:color w:val="1D1D1B"/>
                      <w:sz w:val="28"/>
                      <w:szCs w:val="28"/>
                    </w:rPr>
                  </w:pPr>
                  <w:r w:rsidRPr="00F42BFF">
                    <w:rPr>
                      <w:color w:val="1D1D1B"/>
                      <w:sz w:val="28"/>
                      <w:szCs w:val="28"/>
                    </w:rPr>
                    <w:t>Додаткові витрати з оплати послуг:</w:t>
                  </w:r>
                </w:p>
                <w:p w:rsidR="001E2906" w:rsidRPr="00F42BFF" w:rsidRDefault="001E2906" w:rsidP="00F42BFF">
                  <w:pPr>
                    <w:pStyle w:val="a6"/>
                    <w:shd w:val="clear" w:color="auto" w:fill="FFFFFF"/>
                    <w:ind w:left="154"/>
                    <w:rPr>
                      <w:color w:val="1D1D1B"/>
                      <w:sz w:val="28"/>
                      <w:szCs w:val="28"/>
                    </w:rPr>
                  </w:pPr>
                  <w:r w:rsidRPr="00F42BFF">
                    <w:rPr>
                      <w:color w:val="1D1D1B"/>
                      <w:sz w:val="28"/>
                      <w:szCs w:val="28"/>
                    </w:rPr>
                    <w:t xml:space="preserve">з вивезення та захоронення побутових відходів на </w:t>
                  </w:r>
                  <w:r w:rsidRPr="00F42BFF">
                    <w:rPr>
                      <w:b/>
                      <w:color w:val="1D1D1B"/>
                      <w:sz w:val="28"/>
                      <w:szCs w:val="28"/>
                    </w:rPr>
                    <w:t>19,05</w:t>
                  </w:r>
                  <w:r w:rsidRPr="00F42BFF">
                    <w:rPr>
                      <w:color w:val="1D1D1B"/>
                      <w:sz w:val="28"/>
                      <w:szCs w:val="28"/>
                    </w:rPr>
                    <w:t xml:space="preserve"> грн. за 1 </w:t>
                  </w:r>
                  <w:proofErr w:type="spellStart"/>
                  <w:r w:rsidRPr="00F42BFF">
                    <w:rPr>
                      <w:color w:val="1D1D1B"/>
                      <w:sz w:val="28"/>
                      <w:szCs w:val="28"/>
                    </w:rPr>
                    <w:t>куб.м</w:t>
                  </w:r>
                  <w:proofErr w:type="spellEnd"/>
                  <w:r w:rsidRPr="00F42BFF">
                    <w:rPr>
                      <w:color w:val="1D1D1B"/>
                      <w:sz w:val="28"/>
                      <w:szCs w:val="28"/>
                    </w:rPr>
                    <w:t xml:space="preserve">,  на 1 місяць на 1 особу з багатоквартирних будинків, на </w:t>
                  </w:r>
                  <w:r w:rsidRPr="00F42BFF">
                    <w:rPr>
                      <w:b/>
                      <w:color w:val="1D1D1B"/>
                      <w:sz w:val="28"/>
                      <w:szCs w:val="28"/>
                    </w:rPr>
                    <w:t>15,05</w:t>
                  </w:r>
                  <w:r w:rsidRPr="00F42BFF">
                    <w:rPr>
                      <w:color w:val="1D1D1B"/>
                      <w:sz w:val="28"/>
                      <w:szCs w:val="28"/>
                    </w:rPr>
                    <w:t xml:space="preserve"> грн. за 1 місяць на 1 мешканця з приватного сектору.</w:t>
                  </w:r>
                </w:p>
                <w:p w:rsidR="000548C8" w:rsidRPr="00F42BFF" w:rsidRDefault="000548C8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0548C8" w:rsidRPr="00F42BFF" w:rsidRDefault="000548C8" w:rsidP="00F42BFF">
            <w:pPr>
              <w:shd w:val="clear" w:color="auto" w:fill="FFFFFF"/>
              <w:spacing w:after="0" w:line="210" w:lineRule="atLeast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</w:p>
          <w:p w:rsidR="000548C8" w:rsidRPr="00F42BFF" w:rsidRDefault="000548C8" w:rsidP="00F42BFF">
            <w:pPr>
              <w:shd w:val="clear" w:color="auto" w:fill="FFFFFF"/>
              <w:spacing w:after="0" w:line="210" w:lineRule="atLeast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</w:p>
          <w:p w:rsidR="000548C8" w:rsidRPr="00F42BFF" w:rsidRDefault="000548C8" w:rsidP="00F42BFF">
            <w:pPr>
              <w:shd w:val="clear" w:color="auto" w:fill="FFFFFF"/>
              <w:spacing w:after="0" w:line="210" w:lineRule="atLeast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  <w:r w:rsidRPr="00F42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Оцінка впливу на сферу інтересів суб’єктів господарювання</w:t>
            </w:r>
          </w:p>
          <w:tbl>
            <w:tblPr>
              <w:tblW w:w="918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8"/>
              <w:gridCol w:w="3396"/>
              <w:gridCol w:w="2850"/>
            </w:tblGrid>
            <w:tr w:rsidR="009A472F" w:rsidRPr="00F42BFF" w:rsidTr="009A472F">
              <w:tc>
                <w:tcPr>
                  <w:tcW w:w="2938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9A472F" w:rsidRPr="00F42BFF" w:rsidRDefault="009A472F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Вид альтернативи</w:t>
                  </w:r>
                </w:p>
              </w:tc>
              <w:tc>
                <w:tcPr>
                  <w:tcW w:w="339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9A472F" w:rsidRPr="00F42BFF" w:rsidRDefault="009A472F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Вигоди</w:t>
                  </w:r>
                </w:p>
              </w:tc>
              <w:tc>
                <w:tcPr>
                  <w:tcW w:w="285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4" w:space="0" w:color="auto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9A472F" w:rsidRPr="00F42BFF" w:rsidRDefault="009A472F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Витрати</w:t>
                  </w:r>
                </w:p>
              </w:tc>
            </w:tr>
            <w:tr w:rsidR="009A472F" w:rsidRPr="00F42BFF" w:rsidTr="009A472F">
              <w:tc>
                <w:tcPr>
                  <w:tcW w:w="2938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9A472F" w:rsidRPr="00F42BFF" w:rsidRDefault="009A472F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Альтернатива 1</w:t>
                  </w:r>
                </w:p>
              </w:tc>
              <w:tc>
                <w:tcPr>
                  <w:tcW w:w="339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9A472F" w:rsidRPr="00F42BFF" w:rsidRDefault="009A472F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Надання послуг із вивезення побутових відходів</w:t>
                  </w:r>
                </w:p>
              </w:tc>
              <w:tc>
                <w:tcPr>
                  <w:tcW w:w="285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4" w:space="0" w:color="auto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9A472F" w:rsidRPr="00F42BFF" w:rsidRDefault="009A472F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Суб’єкти господарювання    несуть витрати в межах встановленого тарифу на вивіз побутових відходів</w:t>
                  </w:r>
                </w:p>
              </w:tc>
            </w:tr>
            <w:tr w:rsidR="009A472F" w:rsidRPr="00F42BFF" w:rsidTr="009A472F">
              <w:tc>
                <w:tcPr>
                  <w:tcW w:w="2938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9A472F" w:rsidRPr="00F42BFF" w:rsidRDefault="009A472F" w:rsidP="00F42BFF">
                  <w:pPr>
                    <w:spacing w:after="115" w:line="210" w:lineRule="atLeast"/>
                    <w:jc w:val="both"/>
                    <w:rPr>
                      <w:rFonts w:ascii="Helvetica" w:eastAsia="Times New Roman" w:hAnsi="Helvetica" w:cs="Helvetica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lastRenderedPageBreak/>
                    <w:t>Альтернатива 2</w:t>
                  </w:r>
                </w:p>
              </w:tc>
              <w:tc>
                <w:tcPr>
                  <w:tcW w:w="339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4" w:space="0" w:color="auto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9A472F" w:rsidRPr="00F42BFF" w:rsidRDefault="009A472F" w:rsidP="00F42BFF">
                  <w:pPr>
                    <w:spacing w:after="115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Надання послуг із вивезення побутових відходів. Забезпечення безперебійності надання послуг, обслуговування контейнерів, дотримання умов благоустрою. </w:t>
                  </w:r>
                </w:p>
                <w:p w:rsidR="009A472F" w:rsidRPr="00F42BFF" w:rsidRDefault="009A472F" w:rsidP="00F42BFF">
                  <w:pPr>
                    <w:spacing w:after="115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hAnsi="Times New Roman" w:cs="Times New Roman"/>
                      <w:color w:val="1D1D1B"/>
                      <w:sz w:val="28"/>
                      <w:szCs w:val="28"/>
                      <w:shd w:val="clear" w:color="auto" w:fill="FFFFFF"/>
                    </w:rPr>
                    <w:t>Підвищення рівня якості організації робіт у сфері поводження з побутовими відходами, поліпшення санітарно-епідеміологічного стану населеного пункту</w:t>
                  </w:r>
                </w:p>
              </w:tc>
              <w:tc>
                <w:tcPr>
                  <w:tcW w:w="2850" w:type="dxa"/>
                  <w:tcBorders>
                    <w:top w:val="double" w:sz="6" w:space="0" w:color="00000A"/>
                    <w:left w:val="double" w:sz="4" w:space="0" w:color="auto"/>
                    <w:bottom w:val="double" w:sz="6" w:space="0" w:color="00000A"/>
                    <w:right w:val="double" w:sz="4" w:space="0" w:color="auto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9A472F" w:rsidRPr="00F42BFF" w:rsidRDefault="009A472F" w:rsidP="00F42BFF">
                  <w:pPr>
                    <w:pStyle w:val="a6"/>
                    <w:shd w:val="clear" w:color="auto" w:fill="FFFFFF"/>
                    <w:ind w:left="154"/>
                    <w:rPr>
                      <w:rFonts w:ascii="Helvetica" w:hAnsi="Helvetica" w:cs="Helvetica"/>
                      <w:sz w:val="28"/>
                      <w:szCs w:val="28"/>
                    </w:rPr>
                  </w:pPr>
                  <w:r w:rsidRPr="00F42BFF">
                    <w:rPr>
                      <w:color w:val="1D1D1B"/>
                      <w:sz w:val="28"/>
                      <w:szCs w:val="28"/>
                    </w:rPr>
                    <w:t xml:space="preserve">Додаткові витрати з оплати послуг: в залежності від суб’єкта утворення ТПВ додаткові витрати становлять від </w:t>
                  </w:r>
                  <w:r w:rsidRPr="00F42BFF">
                    <w:rPr>
                      <w:b/>
                      <w:color w:val="1D1D1B"/>
                      <w:sz w:val="28"/>
                      <w:szCs w:val="28"/>
                    </w:rPr>
                    <w:t>61,81</w:t>
                  </w:r>
                  <w:r w:rsidRPr="00F42BFF">
                    <w:rPr>
                      <w:color w:val="1D1D1B"/>
                      <w:sz w:val="28"/>
                      <w:szCs w:val="28"/>
                    </w:rPr>
                    <w:t xml:space="preserve"> грн. за 1 робоче місце до </w:t>
                  </w:r>
                  <w:r w:rsidRPr="00F42BFF">
                    <w:rPr>
                      <w:b/>
                      <w:color w:val="1D1D1B"/>
                      <w:sz w:val="28"/>
                      <w:szCs w:val="28"/>
                    </w:rPr>
                    <w:t>191,89</w:t>
                  </w:r>
                  <w:r w:rsidRPr="00F42BFF">
                    <w:rPr>
                      <w:color w:val="1D1D1B"/>
                      <w:sz w:val="28"/>
                      <w:szCs w:val="28"/>
                    </w:rPr>
                    <w:t xml:space="preserve"> грн. </w:t>
                  </w:r>
                </w:p>
              </w:tc>
            </w:tr>
          </w:tbl>
          <w:p w:rsidR="000548C8" w:rsidRPr="00F42BFF" w:rsidRDefault="000548C8" w:rsidP="00F42BFF">
            <w:pPr>
              <w:shd w:val="clear" w:color="auto" w:fill="FFFFFF"/>
              <w:spacing w:after="0" w:line="210" w:lineRule="atLeast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</w:p>
          <w:p w:rsidR="006F2A61" w:rsidRPr="00F42BFF" w:rsidRDefault="006F2A61" w:rsidP="00F42BFF">
            <w:pPr>
              <w:shd w:val="clear" w:color="auto" w:fill="FFFFFF"/>
              <w:spacing w:after="0" w:line="210" w:lineRule="atLeast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</w:p>
          <w:tbl>
            <w:tblPr>
              <w:tblW w:w="9465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6"/>
              <w:gridCol w:w="18"/>
              <w:gridCol w:w="1399"/>
              <w:gridCol w:w="18"/>
              <w:gridCol w:w="1116"/>
              <w:gridCol w:w="18"/>
              <w:gridCol w:w="1030"/>
            </w:tblGrid>
            <w:tr w:rsidR="000C54E3" w:rsidRPr="00F42BFF" w:rsidTr="00F42BFF">
              <w:trPr>
                <w:jc w:val="center"/>
              </w:trPr>
              <w:tc>
                <w:tcPr>
                  <w:tcW w:w="5866" w:type="dxa"/>
                  <w:tcBorders>
                    <w:top w:val="double" w:sz="6" w:space="0" w:color="00000A"/>
                    <w:left w:val="double" w:sz="4" w:space="0" w:color="auto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</w:tcPr>
                <w:p w:rsidR="000C54E3" w:rsidRPr="00F42BFF" w:rsidRDefault="000C54E3" w:rsidP="00F42BFF">
                  <w:pPr>
                    <w:spacing w:after="115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Показник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C54E3" w:rsidRPr="00F42BFF" w:rsidRDefault="000C54E3" w:rsidP="00F42BFF">
                  <w:pPr>
                    <w:spacing w:after="115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Великі/ Середні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C54E3" w:rsidRPr="00F42BFF" w:rsidRDefault="000C54E3" w:rsidP="00F42BFF">
                  <w:pPr>
                    <w:spacing w:after="115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Малі/ Мікро</w:t>
                  </w:r>
                </w:p>
              </w:tc>
              <w:tc>
                <w:tcPr>
                  <w:tcW w:w="1048" w:type="dxa"/>
                  <w:gridSpan w:val="2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C54E3" w:rsidRPr="00F42BFF" w:rsidRDefault="000C54E3" w:rsidP="00F42BFF">
                  <w:pPr>
                    <w:spacing w:after="115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Разом</w:t>
                  </w:r>
                </w:p>
              </w:tc>
            </w:tr>
            <w:tr w:rsidR="000C54E3" w:rsidRPr="00F42BFF" w:rsidTr="00F42BFF">
              <w:trPr>
                <w:jc w:val="center"/>
              </w:trPr>
              <w:tc>
                <w:tcPr>
                  <w:tcW w:w="5884" w:type="dxa"/>
                  <w:gridSpan w:val="2"/>
                  <w:tcBorders>
                    <w:top w:val="double" w:sz="6" w:space="0" w:color="00000A"/>
                    <w:left w:val="double" w:sz="4" w:space="0" w:color="auto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</w:tcPr>
                <w:p w:rsidR="000C54E3" w:rsidRPr="00F42BFF" w:rsidRDefault="000C54E3" w:rsidP="00F42BFF">
                  <w:pPr>
                    <w:spacing w:after="115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Кількість суб’єктів господарювання, що підпадають під дію регулювання, одиниць (орієнтовно)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C54E3" w:rsidRPr="00F42BFF" w:rsidRDefault="000C54E3" w:rsidP="00F42BFF">
                  <w:pPr>
                    <w:spacing w:after="115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719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C54E3" w:rsidRPr="00F42BFF" w:rsidRDefault="000C54E3" w:rsidP="00F42BFF">
                  <w:pPr>
                    <w:spacing w:after="115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3593</w:t>
                  </w:r>
                </w:p>
              </w:tc>
              <w:tc>
                <w:tcPr>
                  <w:tcW w:w="103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C54E3" w:rsidRPr="00F42BFF" w:rsidRDefault="000C54E3" w:rsidP="00F42BFF">
                  <w:pPr>
                    <w:spacing w:after="115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4312</w:t>
                  </w:r>
                </w:p>
              </w:tc>
            </w:tr>
            <w:tr w:rsidR="000C54E3" w:rsidRPr="00F42BFF" w:rsidTr="00F42BFF">
              <w:trPr>
                <w:jc w:val="center"/>
              </w:trPr>
              <w:tc>
                <w:tcPr>
                  <w:tcW w:w="5884" w:type="dxa"/>
                  <w:gridSpan w:val="2"/>
                  <w:tcBorders>
                    <w:top w:val="double" w:sz="6" w:space="0" w:color="00000A"/>
                    <w:left w:val="double" w:sz="4" w:space="0" w:color="auto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</w:tcPr>
                <w:p w:rsidR="000C54E3" w:rsidRPr="00F42BFF" w:rsidRDefault="000C54E3" w:rsidP="00F42BFF">
                  <w:pPr>
                    <w:spacing w:after="115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Питома вага групи у загальній кількості, відсотків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C54E3" w:rsidRPr="00F42BFF" w:rsidRDefault="000C54E3" w:rsidP="00F42BFF">
                  <w:pPr>
                    <w:spacing w:after="115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16,67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C54E3" w:rsidRPr="00F42BFF" w:rsidRDefault="000C54E3" w:rsidP="00F42BFF">
                  <w:pPr>
                    <w:spacing w:after="115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83,33</w:t>
                  </w:r>
                </w:p>
              </w:tc>
              <w:tc>
                <w:tcPr>
                  <w:tcW w:w="103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C54E3" w:rsidRPr="00F42BFF" w:rsidRDefault="000C54E3" w:rsidP="00F42BFF">
                  <w:pPr>
                    <w:spacing w:after="115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100%</w:t>
                  </w:r>
                </w:p>
              </w:tc>
            </w:tr>
          </w:tbl>
          <w:p w:rsidR="000548C8" w:rsidRPr="00F42BFF" w:rsidRDefault="000548C8" w:rsidP="00F42BFF">
            <w:pPr>
              <w:shd w:val="clear" w:color="auto" w:fill="FFFFFF"/>
              <w:spacing w:after="0" w:line="210" w:lineRule="atLeast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</w:p>
          <w:p w:rsidR="003C6DBF" w:rsidRPr="00F42BFF" w:rsidRDefault="00162925" w:rsidP="00F42BFF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42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                                                                                </w:t>
            </w:r>
            <w:proofErr w:type="spellStart"/>
            <w:r w:rsidR="00D220FB" w:rsidRPr="00F42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тис.осіб</w:t>
            </w:r>
            <w:proofErr w:type="spellEnd"/>
          </w:p>
          <w:tbl>
            <w:tblPr>
              <w:tblW w:w="9296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8"/>
              <w:gridCol w:w="1701"/>
              <w:gridCol w:w="1559"/>
              <w:gridCol w:w="1678"/>
            </w:tblGrid>
            <w:tr w:rsidR="000C54E3" w:rsidRPr="00F42BFF" w:rsidTr="004B624C">
              <w:trPr>
                <w:jc w:val="center"/>
              </w:trPr>
              <w:tc>
                <w:tcPr>
                  <w:tcW w:w="4358" w:type="dxa"/>
                  <w:tcBorders>
                    <w:top w:val="double" w:sz="6" w:space="0" w:color="00000A"/>
                    <w:left w:val="double" w:sz="4" w:space="0" w:color="auto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</w:tcPr>
                <w:p w:rsidR="000C54E3" w:rsidRPr="00F42BFF" w:rsidRDefault="000C54E3" w:rsidP="00F42BFF">
                  <w:pPr>
                    <w:spacing w:after="115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Показник</w:t>
                  </w:r>
                </w:p>
              </w:tc>
              <w:tc>
                <w:tcPr>
                  <w:tcW w:w="1701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C54E3" w:rsidRPr="00F42BFF" w:rsidRDefault="000C54E3" w:rsidP="00F42BFF">
                  <w:pPr>
                    <w:spacing w:after="115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м. Коломия </w:t>
                  </w:r>
                </w:p>
              </w:tc>
              <w:tc>
                <w:tcPr>
                  <w:tcW w:w="1559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C54E3" w:rsidRPr="00F42BFF" w:rsidRDefault="000C54E3" w:rsidP="00F42BFF">
                  <w:pPr>
                    <w:spacing w:after="115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села Коломийської ТГ</w:t>
                  </w:r>
                </w:p>
              </w:tc>
              <w:tc>
                <w:tcPr>
                  <w:tcW w:w="1678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C54E3" w:rsidRPr="00F42BFF" w:rsidRDefault="000C54E3" w:rsidP="00F42BFF">
                  <w:pPr>
                    <w:spacing w:after="115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Разом</w:t>
                  </w:r>
                </w:p>
              </w:tc>
            </w:tr>
            <w:tr w:rsidR="000C54E3" w:rsidRPr="00F42BFF" w:rsidTr="004B624C">
              <w:trPr>
                <w:jc w:val="center"/>
              </w:trPr>
              <w:tc>
                <w:tcPr>
                  <w:tcW w:w="4358" w:type="dxa"/>
                  <w:tcBorders>
                    <w:top w:val="double" w:sz="6" w:space="0" w:color="00000A"/>
                    <w:left w:val="double" w:sz="4" w:space="0" w:color="auto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</w:tcPr>
                <w:p w:rsidR="000C54E3" w:rsidRPr="00F42BFF" w:rsidRDefault="000C54E3" w:rsidP="00F42BFF">
                  <w:pPr>
                    <w:spacing w:after="115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Кількість </w:t>
                  </w:r>
                  <w:proofErr w:type="spellStart"/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мешканців,які</w:t>
                  </w:r>
                  <w:proofErr w:type="spellEnd"/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 проживають в багатоквартирній забудові одиниць (орієнтовно)</w:t>
                  </w:r>
                </w:p>
              </w:tc>
              <w:tc>
                <w:tcPr>
                  <w:tcW w:w="1701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C54E3" w:rsidRPr="00F42BFF" w:rsidRDefault="000C54E3" w:rsidP="00F42BFF">
                  <w:pPr>
                    <w:spacing w:after="115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44,269</w:t>
                  </w:r>
                </w:p>
              </w:tc>
              <w:tc>
                <w:tcPr>
                  <w:tcW w:w="1559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C54E3" w:rsidRPr="00F42BFF" w:rsidRDefault="000C54E3" w:rsidP="00F42BFF">
                  <w:pPr>
                    <w:spacing w:after="115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0,170</w:t>
                  </w:r>
                </w:p>
              </w:tc>
              <w:tc>
                <w:tcPr>
                  <w:tcW w:w="1678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C54E3" w:rsidRPr="00F42BFF" w:rsidRDefault="000C54E3" w:rsidP="00F42BFF">
                  <w:pPr>
                    <w:spacing w:after="115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44,439</w:t>
                  </w:r>
                </w:p>
              </w:tc>
            </w:tr>
            <w:tr w:rsidR="000C54E3" w:rsidRPr="00F42BFF" w:rsidTr="004B624C">
              <w:trPr>
                <w:trHeight w:val="372"/>
                <w:jc w:val="center"/>
              </w:trPr>
              <w:tc>
                <w:tcPr>
                  <w:tcW w:w="4358" w:type="dxa"/>
                  <w:tcBorders>
                    <w:top w:val="double" w:sz="6" w:space="0" w:color="00000A"/>
                    <w:left w:val="double" w:sz="4" w:space="0" w:color="auto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</w:tcPr>
                <w:p w:rsidR="000C54E3" w:rsidRPr="00F42BFF" w:rsidRDefault="000C54E3" w:rsidP="00F42BFF">
                  <w:pPr>
                    <w:spacing w:after="115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Кількість </w:t>
                  </w:r>
                  <w:proofErr w:type="spellStart"/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мешканців,які</w:t>
                  </w:r>
                  <w:proofErr w:type="spellEnd"/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 проживають в </w:t>
                  </w:r>
                  <w:proofErr w:type="spellStart"/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в</w:t>
                  </w:r>
                  <w:proofErr w:type="spellEnd"/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 індивідуальній забудові, (приватні домоволодіння ) одиниць (орієнтовно)</w:t>
                  </w:r>
                </w:p>
              </w:tc>
              <w:tc>
                <w:tcPr>
                  <w:tcW w:w="1701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C54E3" w:rsidRPr="00F42BFF" w:rsidRDefault="000C54E3" w:rsidP="00F42BFF">
                  <w:pPr>
                    <w:spacing w:after="115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17,000</w:t>
                  </w:r>
                </w:p>
              </w:tc>
              <w:tc>
                <w:tcPr>
                  <w:tcW w:w="1559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C54E3" w:rsidRPr="00F42BFF" w:rsidRDefault="000C54E3" w:rsidP="00F42BFF">
                  <w:pPr>
                    <w:spacing w:after="115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13,397</w:t>
                  </w:r>
                </w:p>
              </w:tc>
              <w:tc>
                <w:tcPr>
                  <w:tcW w:w="1678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C54E3" w:rsidRPr="00F42BFF" w:rsidRDefault="000C54E3" w:rsidP="00F42BFF">
                  <w:pPr>
                    <w:spacing w:after="115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30,397</w:t>
                  </w:r>
                </w:p>
              </w:tc>
            </w:tr>
            <w:tr w:rsidR="000C54E3" w:rsidRPr="00F42BFF" w:rsidTr="004B624C">
              <w:trPr>
                <w:jc w:val="center"/>
              </w:trPr>
              <w:tc>
                <w:tcPr>
                  <w:tcW w:w="4358" w:type="dxa"/>
                  <w:tcBorders>
                    <w:top w:val="double" w:sz="6" w:space="0" w:color="00000A"/>
                    <w:left w:val="double" w:sz="4" w:space="0" w:color="auto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</w:tcPr>
                <w:p w:rsidR="000C54E3" w:rsidRPr="00F42BFF" w:rsidRDefault="000C54E3" w:rsidP="00F42BFF">
                  <w:pPr>
                    <w:spacing w:after="115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Питома вага групи у загальній кількості, відсотків</w:t>
                  </w:r>
                </w:p>
              </w:tc>
              <w:tc>
                <w:tcPr>
                  <w:tcW w:w="1701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</w:tcPr>
                <w:p w:rsidR="000C54E3" w:rsidRPr="00F42BFF" w:rsidRDefault="000C54E3" w:rsidP="00F42BFF">
                  <w:pPr>
                    <w:spacing w:after="115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61,269</w:t>
                  </w:r>
                </w:p>
              </w:tc>
              <w:tc>
                <w:tcPr>
                  <w:tcW w:w="1559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</w:tcPr>
                <w:p w:rsidR="000C54E3" w:rsidRPr="00F42BFF" w:rsidRDefault="000C54E3" w:rsidP="00F42BFF">
                  <w:pPr>
                    <w:spacing w:after="115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13,567</w:t>
                  </w:r>
                </w:p>
              </w:tc>
              <w:tc>
                <w:tcPr>
                  <w:tcW w:w="1678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</w:tcPr>
                <w:p w:rsidR="000C54E3" w:rsidRPr="00F42BFF" w:rsidRDefault="000C54E3" w:rsidP="00F42BFF">
                  <w:pPr>
                    <w:spacing w:after="115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100%</w:t>
                  </w:r>
                </w:p>
              </w:tc>
            </w:tr>
          </w:tbl>
          <w:p w:rsidR="00005976" w:rsidRPr="00F42BFF" w:rsidRDefault="00005976" w:rsidP="00F42BFF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005976" w:rsidRPr="00F42BFF" w:rsidRDefault="00005976" w:rsidP="00F42BFF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0548C8" w:rsidRPr="00F42BFF" w:rsidRDefault="000548C8" w:rsidP="00F42BFF">
            <w:pPr>
              <w:shd w:val="clear" w:color="auto" w:fill="FFFFFF"/>
              <w:spacing w:after="0" w:line="210" w:lineRule="atLeast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  <w:r w:rsidRPr="00F42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4. Вибір найбільш оптимального альтернативного способу досягнення цілей</w:t>
            </w:r>
          </w:p>
          <w:p w:rsidR="00D8057A" w:rsidRPr="00F42BFF" w:rsidRDefault="00D8057A" w:rsidP="00F42BFF">
            <w:pPr>
              <w:shd w:val="clear" w:color="auto" w:fill="FFFFFF"/>
              <w:spacing w:after="0" w:line="210" w:lineRule="atLeast"/>
              <w:ind w:firstLine="8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548C8" w:rsidRPr="00F42BFF" w:rsidRDefault="000548C8" w:rsidP="00F42BFF">
            <w:pPr>
              <w:shd w:val="clear" w:color="auto" w:fill="FFFFFF"/>
              <w:spacing w:after="0" w:line="210" w:lineRule="atLeast"/>
              <w:ind w:firstLine="864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  <w:r w:rsidRPr="00F42B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 результатами опрацювання альтернативних способів досягнення цілей державного регулювання здійснено вибір оптимального альтернативного способу досягнення визначених цілей.</w:t>
            </w:r>
          </w:p>
          <w:p w:rsidR="00060AE2" w:rsidRPr="00F42BFF" w:rsidRDefault="00060AE2" w:rsidP="00F42BFF">
            <w:pPr>
              <w:shd w:val="clear" w:color="auto" w:fill="FFFFFF"/>
              <w:spacing w:after="0" w:line="210" w:lineRule="atLeast"/>
              <w:ind w:firstLine="8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D8057A" w:rsidRPr="00F42BFF" w:rsidRDefault="00D8057A" w:rsidP="00F42BFF">
            <w:pPr>
              <w:shd w:val="clear" w:color="auto" w:fill="FFFFFF"/>
              <w:spacing w:after="0" w:line="210" w:lineRule="atLeast"/>
              <w:ind w:firstLine="8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60AE2" w:rsidRPr="00F42BFF" w:rsidRDefault="00B846BE" w:rsidP="00F42BFF">
            <w:pPr>
              <w:shd w:val="clear" w:color="auto" w:fill="FFFFFF"/>
              <w:spacing w:after="0" w:line="210" w:lineRule="atLeast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</w:t>
            </w:r>
            <w:r w:rsidR="00060AE2" w:rsidRPr="00F42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льтернативними способами досягнення зазначених цілей є:</w:t>
            </w:r>
          </w:p>
          <w:p w:rsidR="00060AE2" w:rsidRPr="00F42BFF" w:rsidRDefault="00060AE2" w:rsidP="00F42BFF">
            <w:pPr>
              <w:shd w:val="clear" w:color="auto" w:fill="FFFFFF"/>
              <w:spacing w:after="0" w:line="210" w:lineRule="atLeast"/>
              <w:ind w:firstLine="8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60AE2" w:rsidRPr="00F42BFF" w:rsidRDefault="00060AE2" w:rsidP="00F42BFF">
            <w:pPr>
              <w:shd w:val="clear" w:color="auto" w:fill="FFFFFF"/>
              <w:spacing w:after="0" w:line="210" w:lineRule="atLeast"/>
              <w:ind w:firstLine="8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tbl>
            <w:tblPr>
              <w:tblW w:w="961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1881"/>
              <w:gridCol w:w="2920"/>
              <w:gridCol w:w="3027"/>
            </w:tblGrid>
            <w:tr w:rsidR="00060AE2" w:rsidRPr="00F42BFF" w:rsidTr="00F42BFF">
              <w:tc>
                <w:tcPr>
                  <w:tcW w:w="1782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60AE2" w:rsidRPr="00F42BFF" w:rsidRDefault="00060AE2" w:rsidP="00F42B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881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60AE2" w:rsidRPr="00F42BFF" w:rsidRDefault="00060AE2" w:rsidP="00F42B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Можливі способи досягнення цілей</w:t>
                  </w:r>
                </w:p>
              </w:tc>
              <w:tc>
                <w:tcPr>
                  <w:tcW w:w="292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</w:tcPr>
                <w:p w:rsidR="00060AE2" w:rsidRPr="00F42BFF" w:rsidRDefault="00060AE2" w:rsidP="00F42B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Оцінка способу</w:t>
                  </w:r>
                </w:p>
              </w:tc>
              <w:tc>
                <w:tcPr>
                  <w:tcW w:w="3027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F05E2F" w:rsidRPr="00F42BFF" w:rsidRDefault="00060AE2" w:rsidP="00F42B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Причини відмови від альтернативних способів /</w:t>
                  </w:r>
                </w:p>
                <w:p w:rsidR="00060AE2" w:rsidRPr="00F42BFF" w:rsidRDefault="00060AE2" w:rsidP="00F42B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Аргументи щодо переваг обраного способу</w:t>
                  </w:r>
                </w:p>
              </w:tc>
            </w:tr>
            <w:tr w:rsidR="00060AE2" w:rsidRPr="00F42BFF" w:rsidTr="00F42BFF">
              <w:trPr>
                <w:trHeight w:val="231"/>
              </w:trPr>
              <w:tc>
                <w:tcPr>
                  <w:tcW w:w="1782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60AE2" w:rsidRPr="00F42BFF" w:rsidRDefault="00060AE2" w:rsidP="00F42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Альтернатива 1</w:t>
                  </w:r>
                </w:p>
              </w:tc>
              <w:tc>
                <w:tcPr>
                  <w:tcW w:w="1881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60AE2" w:rsidRPr="00F42BFF" w:rsidRDefault="00060AE2" w:rsidP="00F42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Збереження чинного законодавства</w:t>
                  </w:r>
                </w:p>
              </w:tc>
              <w:tc>
                <w:tcPr>
                  <w:tcW w:w="292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</w:tcPr>
                <w:p w:rsidR="00060AE2" w:rsidRPr="00F42BFF" w:rsidRDefault="00060AE2" w:rsidP="00F42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Побудований відповідно до вимог регулювання центрального рівня</w:t>
                  </w:r>
                  <w:r w:rsidRPr="00F42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- не відповідає реальним показникам накопичення</w:t>
                  </w:r>
                </w:p>
                <w:p w:rsidR="00F05E2F" w:rsidRPr="00F42BFF" w:rsidRDefault="00F05E2F" w:rsidP="00F42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27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60AE2" w:rsidRPr="00F42BFF" w:rsidRDefault="00060AE2" w:rsidP="00F42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не забезпечує розв’язання проблем</w:t>
                  </w:r>
                </w:p>
              </w:tc>
            </w:tr>
            <w:tr w:rsidR="00060AE2" w:rsidRPr="00F42BFF" w:rsidTr="00F42BFF">
              <w:trPr>
                <w:trHeight w:val="368"/>
              </w:trPr>
              <w:tc>
                <w:tcPr>
                  <w:tcW w:w="1782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60AE2" w:rsidRPr="00F42BFF" w:rsidRDefault="00060AE2" w:rsidP="00F42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Альтернатива 2</w:t>
                  </w:r>
                </w:p>
              </w:tc>
              <w:tc>
                <w:tcPr>
                  <w:tcW w:w="1881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60AE2" w:rsidRPr="00F42BFF" w:rsidRDefault="00060AE2" w:rsidP="00F42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Обраний спосіб (затвердження економічно та науково обґрунтованих норм надання послуг з вивезення побутових відходів)</w:t>
                  </w:r>
                </w:p>
              </w:tc>
              <w:tc>
                <w:tcPr>
                  <w:tcW w:w="292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</w:tcPr>
                <w:p w:rsidR="00060AE2" w:rsidRPr="00F42BFF" w:rsidRDefault="00060AE2" w:rsidP="00F42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розв’язує проблему повністю</w:t>
                  </w:r>
                  <w:r w:rsidRPr="00F42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- побудований відповідно до вимог регулювання центрального рівня</w:t>
                  </w:r>
                </w:p>
              </w:tc>
              <w:tc>
                <w:tcPr>
                  <w:tcW w:w="3027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060AE2" w:rsidRPr="00F42BFF" w:rsidRDefault="00060AE2" w:rsidP="00F42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42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Забезпечує принципи державної регуляторної політики</w:t>
                  </w:r>
                  <w:r w:rsidRPr="00F42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- Забезпечує реальне відображення норм надання послуг з вивезення побутових відходів в житловій забудові та на об’єктах невиробничої сфери для нашого міста.</w:t>
                  </w:r>
                </w:p>
              </w:tc>
            </w:tr>
          </w:tbl>
          <w:p w:rsidR="000548C8" w:rsidRDefault="000548C8" w:rsidP="00F42BFF">
            <w:pPr>
              <w:shd w:val="clear" w:color="auto" w:fill="FFFFFF"/>
              <w:spacing w:after="0" w:line="210" w:lineRule="atLeast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</w:p>
          <w:p w:rsidR="004B624C" w:rsidRPr="00F42BFF" w:rsidRDefault="004B624C" w:rsidP="00F42BFF">
            <w:pPr>
              <w:shd w:val="clear" w:color="auto" w:fill="FFFFFF"/>
              <w:spacing w:after="0" w:line="210" w:lineRule="atLeast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</w:p>
          <w:p w:rsidR="000548C8" w:rsidRPr="00F42BFF" w:rsidRDefault="000548C8" w:rsidP="00F42BFF">
            <w:pPr>
              <w:shd w:val="clear" w:color="auto" w:fill="FFFFFF"/>
              <w:spacing w:after="0" w:line="210" w:lineRule="atLeast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  <w:r w:rsidRPr="00F42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5. Механізми та заходи, які забезпечать </w:t>
            </w:r>
            <w:r w:rsidR="00A61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розв’язання визначеної проблеми</w:t>
            </w:r>
          </w:p>
          <w:p w:rsidR="000548C8" w:rsidRPr="00F42BFF" w:rsidRDefault="000548C8" w:rsidP="00F42BFF">
            <w:pPr>
              <w:shd w:val="clear" w:color="auto" w:fill="FFFFFF"/>
              <w:spacing w:after="0" w:line="210" w:lineRule="atLeast"/>
              <w:jc w:val="center"/>
              <w:rPr>
                <w:rFonts w:eastAsia="Times New Roman" w:cs="Helvetica"/>
                <w:sz w:val="28"/>
                <w:szCs w:val="28"/>
                <w:lang w:eastAsia="uk-UA"/>
              </w:rPr>
            </w:pPr>
          </w:p>
          <w:p w:rsidR="004B624C" w:rsidRDefault="00C05274" w:rsidP="00F42BF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Досягнення встановлених цілей можливе завдяки ухваленню запропонованого регуляторного акт</w:t>
            </w:r>
            <w:r w:rsidR="004B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що </w:t>
            </w:r>
            <w:proofErr w:type="spellStart"/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надасть</w:t>
            </w:r>
            <w:proofErr w:type="spellEnd"/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можливість забезпечити врегулювання відносин між виконавцем послуг та споживачами й стабілізацію фінансового стану підприємства-виконавця послуг з вивезення побутових </w:t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відходів, установлення економічно обґрунтованих тарифів на послуги з вивезення побутових відходів.</w:t>
            </w:r>
          </w:p>
          <w:p w:rsidR="004B624C" w:rsidRPr="00F42BFF" w:rsidRDefault="004B624C" w:rsidP="00F42BFF">
            <w:pPr>
              <w:shd w:val="clear" w:color="auto" w:fill="FFFFFF"/>
              <w:spacing w:after="0" w:line="210" w:lineRule="atLeast"/>
              <w:jc w:val="both"/>
              <w:rPr>
                <w:rFonts w:eastAsia="Times New Roman" w:cs="Helvetica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</w:t>
            </w:r>
            <w:r w:rsidR="00C05274"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дію регуляторного акт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C05274"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можливий вплив зовнішніх чинників, таких як зміни та доповнення до чинного законодавства України. У подальшому внесення змін до зазначеного рішення можливе в разі зміни вимог чинного законодавства України або виникнення необхідності в нормативному врегулюванні певних правовідносин.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05274" w:rsidRPr="00F42BFF" w:rsidRDefault="00C05274" w:rsidP="00F42BFF">
            <w:pPr>
              <w:shd w:val="clear" w:color="auto" w:fill="FFFFFF"/>
              <w:spacing w:after="0" w:line="210" w:lineRule="atLeast"/>
              <w:jc w:val="center"/>
              <w:rPr>
                <w:rFonts w:eastAsia="Times New Roman" w:cs="Helvetica"/>
                <w:sz w:val="28"/>
                <w:szCs w:val="28"/>
                <w:lang w:eastAsia="uk-UA"/>
              </w:rPr>
            </w:pPr>
          </w:p>
          <w:p w:rsidR="000548C8" w:rsidRPr="00F42BFF" w:rsidRDefault="000548C8" w:rsidP="00A616BA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42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6. Оцінка виконання вимог регуляторного акту залежно від ресурсів, якими розпоряджаються органи виконавчої влади чи органи місцевого самоврядування, фізичні та юридичні особи, які повинні провад</w:t>
            </w:r>
            <w:r w:rsidR="00A61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жувати або виконувати ці вимоги</w:t>
            </w:r>
          </w:p>
          <w:p w:rsidR="00C05274" w:rsidRPr="00F42BFF" w:rsidRDefault="00C05274" w:rsidP="00F42BFF">
            <w:pPr>
              <w:shd w:val="clear" w:color="auto" w:fill="FFFFFF"/>
              <w:spacing w:after="0" w:line="210" w:lineRule="atLeast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</w:p>
          <w:p w:rsidR="00E25017" w:rsidRPr="00F42BFF" w:rsidRDefault="00E25017" w:rsidP="00F42BFF">
            <w:pPr>
              <w:shd w:val="clear" w:color="auto" w:fill="FFFFFF"/>
              <w:spacing w:after="0" w:line="210" w:lineRule="atLeast"/>
              <w:ind w:firstLine="8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42B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Питома вага суб’єктів малого підприємництва у загальній кількості суб’єктів господарювання, на яких поширюється регулювання, становить 100 відсотків, тому здійснюється за рахунок витрат на запровадження державного регулювання для суб’єктів малого підприємництва згідно з додатками 4 до Методики проведення аналізу впливу регуляторного акту (Тест малого підприємництва).</w:t>
            </w:r>
          </w:p>
          <w:p w:rsidR="000548C8" w:rsidRPr="00F42BFF" w:rsidRDefault="00E25017" w:rsidP="00F42BFF">
            <w:pPr>
              <w:shd w:val="clear" w:color="auto" w:fill="FFFFFF"/>
              <w:spacing w:after="0" w:line="210" w:lineRule="atLeast"/>
              <w:ind w:firstLine="853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  <w:r w:rsidRPr="00F42B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Розрахунок витрат на виконання вимог регуляторного акту для </w:t>
            </w:r>
            <w:r w:rsidR="00E53FB8" w:rsidRPr="00F42B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Коломийської</w:t>
            </w:r>
            <w:r w:rsidR="004B62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73C0E" w:rsidRPr="00F42B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міської </w:t>
            </w:r>
            <w:r w:rsidRPr="00F42B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ради згідно з додатком 3 до Методики проведення аналізу впливу регуляторного акту не здійснюється, так як здійснено розрахунок витрат на запровадження державного регулювання для суб’єктів малого підприємництва згідно з додатком 4 до Методики проведення аналізу впливу регуляторного акту (Тест малого підприємництва).</w:t>
            </w:r>
          </w:p>
          <w:p w:rsidR="000548C8" w:rsidRPr="00F42BFF" w:rsidRDefault="000548C8" w:rsidP="00F42BFF">
            <w:pPr>
              <w:shd w:val="clear" w:color="auto" w:fill="FFFFFF"/>
              <w:spacing w:after="0" w:line="210" w:lineRule="atLeast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</w:p>
          <w:p w:rsidR="000548C8" w:rsidRPr="00F42BFF" w:rsidRDefault="000548C8" w:rsidP="00F42BFF">
            <w:pPr>
              <w:shd w:val="clear" w:color="auto" w:fill="FFFFFF"/>
              <w:spacing w:after="0" w:line="210" w:lineRule="atLeast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  <w:r w:rsidRPr="00F42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7. Обґрунтування запропонованог</w:t>
            </w:r>
            <w:r w:rsidR="00A61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 строку дії регуляторного акту</w:t>
            </w:r>
          </w:p>
          <w:p w:rsidR="000548C8" w:rsidRPr="00F42BFF" w:rsidRDefault="000548C8" w:rsidP="00F42BFF">
            <w:pPr>
              <w:shd w:val="clear" w:color="auto" w:fill="FFFFFF"/>
              <w:spacing w:after="0" w:line="210" w:lineRule="atLeast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</w:p>
          <w:p w:rsidR="000548C8" w:rsidRPr="00F42BFF" w:rsidRDefault="00C05274" w:rsidP="00F42BFF">
            <w:pPr>
              <w:shd w:val="clear" w:color="auto" w:fill="FFFFFF"/>
              <w:spacing w:after="0" w:line="210" w:lineRule="atLeast"/>
              <w:ind w:firstLine="864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Термін дії регуляторного акт</w:t>
            </w:r>
            <w:r w:rsidR="004B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05E2F"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затвердження нових норм надання послуг з вивезення побутових відходів.</w:t>
            </w:r>
          </w:p>
          <w:p w:rsidR="000548C8" w:rsidRPr="00F42BFF" w:rsidRDefault="000548C8" w:rsidP="00F42BFF">
            <w:pPr>
              <w:shd w:val="clear" w:color="auto" w:fill="FFFFFF"/>
              <w:spacing w:after="0" w:line="210" w:lineRule="atLeast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</w:p>
          <w:p w:rsidR="000548C8" w:rsidRPr="00F42BFF" w:rsidRDefault="000548C8" w:rsidP="00F42BFF">
            <w:pPr>
              <w:shd w:val="clear" w:color="auto" w:fill="FFFFFF"/>
              <w:spacing w:after="0" w:line="210" w:lineRule="atLeast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  <w:r w:rsidRPr="00F42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8. Визначення показників результа</w:t>
            </w:r>
            <w:r w:rsidR="00A61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тивності дії регуляторного акту</w:t>
            </w:r>
          </w:p>
          <w:p w:rsidR="000548C8" w:rsidRPr="00F42BFF" w:rsidRDefault="000548C8" w:rsidP="00F42BFF">
            <w:pPr>
              <w:shd w:val="clear" w:color="auto" w:fill="FFFFFF"/>
              <w:spacing w:after="0" w:line="210" w:lineRule="atLeast"/>
              <w:ind w:firstLine="864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</w:p>
          <w:p w:rsidR="004B624C" w:rsidRDefault="00C05274" w:rsidP="00F42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Цей розділ містить перелік показників, які характеризують наслідки дії регуляторного акт</w:t>
            </w:r>
            <w:r w:rsidR="004B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Саме на підставі порівняння цих показників та отриманих у подальшому даних (при проведенні базового, повторного та періодичного </w:t>
            </w:r>
            <w:r w:rsidR="004B624C"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відстеження</w:t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можна буде зробити висновок про досягнення очікуваних результатів та досягнення цілей регулювання).</w:t>
            </w:r>
          </w:p>
          <w:p w:rsidR="004B624C" w:rsidRDefault="00C05274" w:rsidP="00F42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визначення результативності регуляторного акт</w:t>
            </w:r>
            <w:r w:rsidR="004B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пропонується встановити такі статистичні показники:</w:t>
            </w:r>
          </w:p>
          <w:p w:rsidR="004B624C" w:rsidRDefault="00C05274" w:rsidP="00F42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2B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Кількість суб'єктів господарювання, на яких поширюватиметься дія регуляторного акт</w:t>
            </w:r>
            <w:r w:rsidR="004B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B624C" w:rsidRDefault="00C05274" w:rsidP="00F42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="002B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Розмір коштів і час, що витрачатимуться суб'єктами господарювання, пов'язаними з виконанням вимог регуляторного акт</w:t>
            </w:r>
            <w:r w:rsidR="004B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05274" w:rsidRPr="00F42BFF" w:rsidRDefault="00C05274" w:rsidP="00F42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</w:t>
            </w:r>
            <w:r w:rsidR="002B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Динаміка кількості укладених договорів на послуги з вивезення побутових відходів.</w:t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="002B0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bookmarkStart w:id="3" w:name="_GoBack"/>
            <w:bookmarkEnd w:id="3"/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Рівень поінформованості суб'єктів господарювання з основних положень регуляторного акт</w:t>
            </w:r>
            <w:r w:rsidR="004B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F42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321E5" w:rsidRPr="00F42BFF" w:rsidRDefault="00E321E5" w:rsidP="00F42BFF">
            <w:pPr>
              <w:shd w:val="clear" w:color="auto" w:fill="FFFFFF"/>
              <w:spacing w:after="0" w:line="210" w:lineRule="atLeast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</w:p>
          <w:p w:rsidR="000548C8" w:rsidRPr="00F42BFF" w:rsidRDefault="000548C8" w:rsidP="00F42BFF">
            <w:pPr>
              <w:shd w:val="clear" w:color="auto" w:fill="FFFFFF"/>
              <w:spacing w:after="0" w:line="210" w:lineRule="atLeast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  <w:r w:rsidRPr="00F42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9. Визначення заходів, за допомогою яких здійснюватиметься відстеження результа</w:t>
            </w:r>
            <w:r w:rsidR="00A61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тивності дії регуляторного акту</w:t>
            </w:r>
          </w:p>
          <w:p w:rsidR="000548C8" w:rsidRPr="00F42BFF" w:rsidRDefault="000548C8" w:rsidP="00F42BFF">
            <w:pPr>
              <w:shd w:val="clear" w:color="auto" w:fill="FFFFFF"/>
              <w:spacing w:after="0" w:line="210" w:lineRule="atLeast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</w:p>
          <w:p w:rsidR="003C6DBF" w:rsidRPr="00F42BFF" w:rsidRDefault="003C6DBF" w:rsidP="00F42BFF">
            <w:pPr>
              <w:shd w:val="clear" w:color="auto" w:fill="FFFFFF"/>
              <w:spacing w:after="0" w:line="210" w:lineRule="atLeast"/>
              <w:ind w:firstLine="8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42B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Відстеження результативності регуляторного акту здійснюватиметься управлінням комунального господарства Коломийської міської ради шляхом збору та аналізу інформації зацікавлених юридичних та фізичних осіб, зауважень та пропозицій від населення та суб’єктів господарювання, а також статистичної інформації.</w:t>
            </w:r>
          </w:p>
          <w:p w:rsidR="003C6DBF" w:rsidRPr="00F42BFF" w:rsidRDefault="003C6DBF" w:rsidP="00F42BFF">
            <w:pPr>
              <w:shd w:val="clear" w:color="auto" w:fill="FFFFFF"/>
              <w:spacing w:after="0" w:line="210" w:lineRule="atLeast"/>
              <w:ind w:firstLine="8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42B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відстеження результативності буде здійснюватися за допомогою статистичного методу.</w:t>
            </w:r>
          </w:p>
          <w:p w:rsidR="003C6DBF" w:rsidRPr="00F42BFF" w:rsidRDefault="003C6DBF" w:rsidP="00F42BFF">
            <w:pPr>
              <w:shd w:val="clear" w:color="auto" w:fill="FFFFFF"/>
              <w:spacing w:after="0" w:line="210" w:lineRule="atLeast"/>
              <w:ind w:firstLine="8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42B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Базове відстеження результативності регуляторного акту буде здійснюватися до дня набрання чинності цим регуляторним актом.</w:t>
            </w:r>
          </w:p>
          <w:p w:rsidR="003C6DBF" w:rsidRPr="00F42BFF" w:rsidRDefault="003C6DBF" w:rsidP="00F42BFF">
            <w:pPr>
              <w:shd w:val="clear" w:color="auto" w:fill="FFFFFF"/>
              <w:spacing w:after="0" w:line="210" w:lineRule="atLeast"/>
              <w:ind w:firstLine="8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42B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Повторне відстеження результативності буде здійснюватися через рік з дня набрання чинності регуляторним актом. </w:t>
            </w:r>
          </w:p>
          <w:p w:rsidR="000548C8" w:rsidRPr="00F42BFF" w:rsidRDefault="00A616BA" w:rsidP="00F42BFF">
            <w:pPr>
              <w:shd w:val="clear" w:color="auto" w:fill="FFFFFF"/>
              <w:spacing w:after="0" w:line="210" w:lineRule="atLeast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</w:t>
            </w:r>
            <w:r w:rsidR="003C6DBF" w:rsidRPr="00F42B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Періодичне відстеження здійснюватиметься один раз на три роки починаючи з дня виконання заходів з повторного відстеження.</w:t>
            </w:r>
          </w:p>
          <w:p w:rsidR="00E321E5" w:rsidRPr="00F42BFF" w:rsidRDefault="00E321E5" w:rsidP="00F42BFF">
            <w:pPr>
              <w:shd w:val="clear" w:color="auto" w:fill="FFFFFF"/>
              <w:spacing w:after="0" w:line="210" w:lineRule="atLeast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</w:p>
          <w:p w:rsidR="00E321E5" w:rsidRPr="00F42BFF" w:rsidRDefault="00E321E5" w:rsidP="00F42BFF">
            <w:pPr>
              <w:shd w:val="clear" w:color="auto" w:fill="FFFFFF"/>
              <w:spacing w:after="0" w:line="210" w:lineRule="atLeast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</w:p>
          <w:p w:rsidR="00E321E5" w:rsidRPr="00F42BFF" w:rsidRDefault="00E321E5" w:rsidP="00F42BFF">
            <w:pPr>
              <w:shd w:val="clear" w:color="auto" w:fill="FFFFFF"/>
              <w:spacing w:after="0" w:line="210" w:lineRule="atLeast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</w:p>
          <w:p w:rsidR="00122869" w:rsidRPr="00F42BFF" w:rsidRDefault="00122869" w:rsidP="00F42BFF">
            <w:pPr>
              <w:shd w:val="clear" w:color="auto" w:fill="FFFFFF"/>
              <w:spacing w:after="0" w:line="210" w:lineRule="atLeast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uk-UA"/>
              </w:rPr>
            </w:pPr>
          </w:p>
          <w:p w:rsidR="00122869" w:rsidRPr="00F42BFF" w:rsidRDefault="00122869" w:rsidP="00F42BF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42B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Начальник управління </w:t>
            </w:r>
          </w:p>
          <w:p w:rsidR="00122869" w:rsidRPr="00F42BFF" w:rsidRDefault="00122869" w:rsidP="00F42BFF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42B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комунального господарства                       </w:t>
            </w:r>
            <w:r w:rsidR="00F05E2F" w:rsidRPr="00F42B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</w:t>
            </w:r>
            <w:r w:rsidR="00C05274" w:rsidRPr="00F42B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</w:t>
            </w:r>
            <w:r w:rsidRPr="00F42B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</w:t>
            </w:r>
            <w:r w:rsidR="003C6DBF" w:rsidRPr="00F42B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Андрій РАДОВЕЦЬ</w:t>
            </w:r>
          </w:p>
          <w:p w:rsidR="000548C8" w:rsidRPr="00F42BFF" w:rsidRDefault="000548C8" w:rsidP="00F4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15D5C" w:rsidRPr="00F42BFF" w:rsidTr="00F42BFF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D5C" w:rsidRPr="00F42BFF" w:rsidRDefault="00215D5C" w:rsidP="00F42BFF">
            <w:pPr>
              <w:shd w:val="clear" w:color="auto" w:fill="FFFFFF"/>
              <w:spacing w:after="0" w:line="210" w:lineRule="atLeast"/>
              <w:ind w:firstLine="8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B06EED" w:rsidRPr="00F42BFF" w:rsidRDefault="00B06EED" w:rsidP="00F42BFF">
      <w:pPr>
        <w:rPr>
          <w:sz w:val="28"/>
          <w:szCs w:val="28"/>
        </w:rPr>
      </w:pPr>
    </w:p>
    <w:sectPr w:rsidR="00B06EED" w:rsidRPr="00F42BFF" w:rsidSect="006F2A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792D"/>
    <w:multiLevelType w:val="hybridMultilevel"/>
    <w:tmpl w:val="18888348"/>
    <w:lvl w:ilvl="0" w:tplc="E9D2C87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1E4639"/>
    <w:multiLevelType w:val="multilevel"/>
    <w:tmpl w:val="97DC3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DE"/>
    <w:rsid w:val="00005976"/>
    <w:rsid w:val="00035339"/>
    <w:rsid w:val="000548C8"/>
    <w:rsid w:val="00060AE2"/>
    <w:rsid w:val="000A4D7D"/>
    <w:rsid w:val="000A70DE"/>
    <w:rsid w:val="000C54E3"/>
    <w:rsid w:val="00110DAA"/>
    <w:rsid w:val="00122869"/>
    <w:rsid w:val="00162925"/>
    <w:rsid w:val="001E2906"/>
    <w:rsid w:val="00215D5C"/>
    <w:rsid w:val="00222490"/>
    <w:rsid w:val="00242ACB"/>
    <w:rsid w:val="00262B2A"/>
    <w:rsid w:val="0029149A"/>
    <w:rsid w:val="002B0EFB"/>
    <w:rsid w:val="00302D7E"/>
    <w:rsid w:val="0031609E"/>
    <w:rsid w:val="00375BB1"/>
    <w:rsid w:val="003C6DBF"/>
    <w:rsid w:val="003E548D"/>
    <w:rsid w:val="004B624C"/>
    <w:rsid w:val="004F4A77"/>
    <w:rsid w:val="00534CF1"/>
    <w:rsid w:val="0053721C"/>
    <w:rsid w:val="005766E2"/>
    <w:rsid w:val="005B271B"/>
    <w:rsid w:val="006972D1"/>
    <w:rsid w:val="006E7215"/>
    <w:rsid w:val="006F2A61"/>
    <w:rsid w:val="00711D6E"/>
    <w:rsid w:val="007222E7"/>
    <w:rsid w:val="00730591"/>
    <w:rsid w:val="0073656A"/>
    <w:rsid w:val="00754396"/>
    <w:rsid w:val="00754AAC"/>
    <w:rsid w:val="00757838"/>
    <w:rsid w:val="0086687B"/>
    <w:rsid w:val="00870A02"/>
    <w:rsid w:val="00916348"/>
    <w:rsid w:val="00973C0E"/>
    <w:rsid w:val="00975049"/>
    <w:rsid w:val="009A472F"/>
    <w:rsid w:val="009B5FDB"/>
    <w:rsid w:val="00A14FE7"/>
    <w:rsid w:val="00A616BA"/>
    <w:rsid w:val="00A75EA5"/>
    <w:rsid w:val="00AD032A"/>
    <w:rsid w:val="00AE6E45"/>
    <w:rsid w:val="00B03744"/>
    <w:rsid w:val="00B06EED"/>
    <w:rsid w:val="00B377AD"/>
    <w:rsid w:val="00B846BE"/>
    <w:rsid w:val="00BD73E6"/>
    <w:rsid w:val="00C05274"/>
    <w:rsid w:val="00C31D9F"/>
    <w:rsid w:val="00CA0BFE"/>
    <w:rsid w:val="00D1325D"/>
    <w:rsid w:val="00D220FB"/>
    <w:rsid w:val="00D8057A"/>
    <w:rsid w:val="00DF4ADC"/>
    <w:rsid w:val="00E24843"/>
    <w:rsid w:val="00E25017"/>
    <w:rsid w:val="00E321E5"/>
    <w:rsid w:val="00E356BD"/>
    <w:rsid w:val="00E377E7"/>
    <w:rsid w:val="00E53FB8"/>
    <w:rsid w:val="00EB64DD"/>
    <w:rsid w:val="00EE60E3"/>
    <w:rsid w:val="00F0519F"/>
    <w:rsid w:val="00F05E2F"/>
    <w:rsid w:val="00F42BFF"/>
    <w:rsid w:val="00F50141"/>
    <w:rsid w:val="00FB313D"/>
    <w:rsid w:val="00FD2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2B90"/>
  <w15:docId w15:val="{F9417045-3C9F-4846-BB5C-052C9486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321E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72D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9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7">
    <w:name w:val="Table Grid"/>
    <w:basedOn w:val="a1"/>
    <w:uiPriority w:val="39"/>
    <w:rsid w:val="000059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0C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C5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7B4C-A320-4908-AD75-D3C69D73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8762</Words>
  <Characters>4995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Остяк Олена Іванівна</cp:lastModifiedBy>
  <cp:revision>3</cp:revision>
  <cp:lastPrinted>2021-03-30T11:32:00Z</cp:lastPrinted>
  <dcterms:created xsi:type="dcterms:W3CDTF">2021-04-12T11:07:00Z</dcterms:created>
  <dcterms:modified xsi:type="dcterms:W3CDTF">2021-04-12T11:18:00Z</dcterms:modified>
</cp:coreProperties>
</file>